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drawing>
          <wp:inline distT="0" distB="0" distL="0" distR="0">
            <wp:extent cx="2095500" cy="504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bCs/>
          <w:color w:val="0F172A"/>
          <w:sz w:val="56"/>
          <w:szCs w:val="56"/>
        </w:rPr>
        <w:t xml:space="preserve">AuraDirect</w:t>
      </w:r>
    </w:p>
    <w:p>
      <w:pPr>
        <w:spacing w:after="360"/>
      </w:pPr>
      <w:r>
        <w:rPr>
          <w:i/>
          <w:iCs/>
          <w:color w:val="475569"/>
          <w:sz w:val="26"/>
          <w:szCs w:val="26"/>
        </w:rPr>
        <w:t xml:space="preserve">Une seule connexion pour tous les produits Aura.</w:t>
      </w:r>
    </w:p>
    <w:p>
      <w:pPr>
        <w:pStyle w:val="Heading1"/>
        <w:spacing w:after="160"/>
      </w:pPr>
      <w:r>
        <w:t xml:space="preserve">Qu'est-ce qu'AuraDirect ?</w:t>
      </w:r>
    </w:p>
    <w:p>
      <w:pPr>
        <w:spacing w:after="360"/>
      </w:pPr>
      <w:r>
        <w:rPr>
          <w:sz w:val="22"/>
          <w:szCs w:val="22"/>
        </w:rPr>
        <w:t xml:space="preserve">AuraDirect est le fournisseur d'identité central pour AuraChat et AuraPlan — avec intégration Active Directory et authentification à deux facteurs centralisée. Configuré une fois, utilisé partout.</w:t>
      </w:r>
    </w:p>
    <w:p>
      <w:pPr>
        <w:pStyle w:val="Heading1"/>
        <w:spacing w:after="160"/>
      </w:pPr>
      <w:r>
        <w:t xml:space="preserve">Fonctionnalités en un coup d'œil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Connexion centrale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Un seul compte utilisateur pour AuraChat et AuraPlan — identifiants vérifiés de manière centralisée au lieu d'être gérés deux fois.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Intégration Active Directory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Importer automatiquement les comptes d'entreprise existants depuis votre Active Directory, avec son propre serveur LDAP pour d'autres systèmes.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Authentification à deux facteurs centralisée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Un seul code 2FA par personne, valable pour tous les produits connectés — plus besoin de le configurer séparément.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Administration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Sauvegarde et restauration, SSL automatique, sa propre politique de confidentialité, gestion des licences avec période d'essai.</w:t>
      </w:r>
    </w:p>
    <w:p>
      <w:pPr>
        <w:pStyle w:val="Heading1"/>
        <w:spacing w:after="160" w:before="200"/>
      </w:pPr>
      <w:r>
        <w:t xml:space="preserve">Premiers pas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1. </w:t>
      </w:r>
      <w:r>
        <w:rPr>
          <w:sz w:val="21"/>
          <w:szCs w:val="21"/>
        </w:rPr>
        <w:t xml:space="preserve">Alternative : téléchargez le paquet de démarrage rapide depuis le site web — utilise des images Docker Hub prêtes à l'emploi, aucune construction nécessaire.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2. </w:t>
      </w:r>
      <w:r>
        <w:rPr>
          <w:sz w:val="21"/>
          <w:szCs w:val="21"/>
        </w:rPr>
        <w:t xml:space="preserve">Installer Docker et Docker Compose sur votre serveur/NAS, si ce n'est pas déjà fait.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3. </w:t>
      </w:r>
      <w:r>
        <w:rPr>
          <w:sz w:val="21"/>
          <w:szCs w:val="21"/>
        </w:rPr>
        <w:t xml:space="preserve">Décompresser le paquet d'installation AuraDirect dans un dossier sur le serveur (ex. /opt/AuraDirect).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4. </w:t>
      </w:r>
      <w:r>
        <w:rPr>
          <w:sz w:val="21"/>
          <w:szCs w:val="21"/>
        </w:rPr>
        <w:t xml:space="preserve">Dans le fichier .env, saisir vos propres valeurs aléatoires pour SESSION_SECRET et AURADIRECT_ADMIN_PASSWORD.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5. </w:t>
      </w:r>
      <w:r>
        <w:rPr>
          <w:sz w:val="21"/>
          <w:szCs w:val="21"/>
        </w:rPr>
        <w:t xml:space="preserve">Démarrer avec "docker compose up -d --build".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6. </w:t>
      </w:r>
      <w:r>
        <w:rPr>
          <w:sz w:val="21"/>
          <w:szCs w:val="21"/>
        </w:rPr>
        <w:t xml:space="preserve">Dans AuraChat et AuraPlan, sous Panneau d'administration → API, saisir l'adresse AuraDirect et la clé de service pour activer la connexion centrale.</w:t>
      </w:r>
    </w:p>
    <w:p>
      <w:pPr>
        <w:pStyle w:val="Heading1"/>
        <w:spacing w:after="120" w:before="200"/>
      </w:pPr>
      <w:r>
        <w:t xml:space="preserve">Tarifs</w:t>
      </w:r>
    </w:p>
    <w:p>
      <w:pPr>
        <w:spacing w:after="160"/>
      </w:pPr>
      <w:r>
        <w:rPr>
          <w:i/>
          <w:iCs/>
          <w:color w:val="475569"/>
          <w:sz w:val="19"/>
          <w:szCs w:val="19"/>
        </w:rPr>
        <w:t xml:space="preserve">Tous les prix sont indicatifs, hors TVA.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4000"/>
      </w:tblGrid>
      <w:tr>
        <w:tc>
          <w:tcPr>
            <w:tcW w:type="pct" w:w="33%"/>
            <w:shd w:fill="0F172A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—</w:t>
            </w:r>
          </w:p>
        </w:tc>
        <w:tc>
          <w:tcPr>
            <w:tcW w:type="pct" w:w="33%"/>
            <w:shd w:fill="0F172A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Preis</w:t>
            </w:r>
          </w:p>
        </w:tc>
        <w:tc>
          <w:tcPr>
            <w:tcW w:type="pct" w:w="33%"/>
            <w:shd w:fill="0F172A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Umfang</w:t>
            </w:r>
          </w:p>
        </w:tc>
      </w:tr>
      <w:tr>
        <w:tc>
          <w:tcPr>
            <w:tcW w:type="pct" w:w="33%"/>
          </w:tcPr>
          <w:p>
            <w:r>
              <w:rPr>
                <w:b/>
                <w:bCs/>
                <w:sz w:val="20"/>
                <w:szCs w:val="20"/>
              </w:rPr>
              <w:t xml:space="preserve">Inclus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gratuit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En utilisant au moins un autre produit Aura : connexion centrale, intégration Active Directory, 2FA centralisée.</w:t>
            </w:r>
          </w:p>
        </w:tc>
      </w:tr>
      <w:tr>
        <w:tc>
          <w:tcPr>
            <w:tcW w:type="pct" w:w="33%"/>
          </w:tcPr>
          <w:p>
            <w:r>
              <w:rPr>
                <w:b/>
                <w:bCs/>
                <w:sz w:val="20"/>
                <w:szCs w:val="20"/>
              </w:rPr>
              <w:t xml:space="preserve">Autonome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CHF 15.– / installation / mois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Toutes les fonctionnalités, même sans autre produit Aura.</w:t>
            </w:r>
          </w:p>
        </w:tc>
      </w:tr>
    </w:tbl>
    <w:p>
      <w:pPr>
        <w:pBdr>
          <w:top w:val="single" w:color="CBD5E1" w:sz="6" w:space="12"/>
        </w:pBdr>
        <w:spacing w:before="400"/>
      </w:pPr>
      <w:r>
        <w:rPr>
          <w:b/>
          <w:bCs/>
          <w:color w:val="0891B2"/>
          <w:sz w:val="20"/>
          <w:szCs w:val="20"/>
        </w:rPr>
        <w:t xml:space="preserve">Des questions ou une démo en direct souhaitée ? info@gerber-backoffice-solutions.com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d377ccd4cd5e725a3edc7e1d6dc2d1aadc21e8d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2026-09-28T12:15:14.454Z</dcterms:created>
  <dcterms:modified xsi:type="dcterms:W3CDTF">2026-09-28T12:15:14.454Z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