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drawing>
          <wp:inline distT="0" distB="0" distL="0" distR="0">
            <wp:extent cx="2095500" cy="5048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/>
      </w:pPr>
      <w:r>
        <w:rPr>
          <w:b/>
          <w:bCs/>
          <w:color w:val="0F172A"/>
          <w:sz w:val="56"/>
          <w:szCs w:val="56"/>
        </w:rPr>
        <w:t xml:space="preserve">AuraDirect</w:t>
      </w:r>
    </w:p>
    <w:p>
      <w:pPr>
        <w:spacing w:after="360"/>
      </w:pPr>
      <w:r>
        <w:rPr>
          <w:i/>
          <w:iCs/>
          <w:color w:val="475569"/>
          <w:sz w:val="26"/>
          <w:szCs w:val="26"/>
        </w:rPr>
        <w:t xml:space="preserve">Un único inicio de sesión para todos los productos Aura.</w:t>
      </w:r>
    </w:p>
    <w:p>
      <w:pPr>
        <w:pStyle w:val="Heading1"/>
        <w:spacing w:after="160"/>
      </w:pPr>
      <w:r>
        <w:t xml:space="preserve">¿Qué es AuraDirect?</w:t>
      </w:r>
    </w:p>
    <w:p>
      <w:pPr>
        <w:spacing w:after="360"/>
      </w:pPr>
      <w:r>
        <w:rPr>
          <w:sz w:val="22"/>
          <w:szCs w:val="22"/>
        </w:rPr>
        <w:t xml:space="preserve">AuraDirect es el proveedor de identidad central para AuraChat y AuraPlan — con integración de Active Directory y autenticación de dos factores centralizada. Configúralo una vez, úsalo en todas partes.</w:t>
      </w:r>
    </w:p>
    <w:p>
      <w:pPr>
        <w:pStyle w:val="Heading1"/>
        <w:spacing w:after="160"/>
      </w:pPr>
      <w:r>
        <w:t xml:space="preserve">Funciones de un vistazo</w:t>
      </w:r>
    </w:p>
    <w:p>
      <w:pPr>
        <w:spacing w:after="40"/>
      </w:pPr>
      <w:r>
        <w:rPr>
          <w:b/>
          <w:bCs/>
          <w:color w:val="0891B2"/>
          <w:sz w:val="22"/>
          <w:szCs w:val="22"/>
        </w:rPr>
        <w:t xml:space="preserve">● </w:t>
      </w:r>
      <w:r>
        <w:rPr>
          <w:b/>
          <w:bCs/>
          <w:sz w:val="22"/>
          <w:szCs w:val="22"/>
        </w:rPr>
        <w:t xml:space="preserve">Inicio de sesión central</w:t>
      </w:r>
    </w:p>
    <w:p>
      <w:pPr>
        <w:spacing w:after="200"/>
        <w:ind w:left="288"/>
      </w:pPr>
      <w:r>
        <w:rPr>
          <w:color w:val="475569"/>
          <w:sz w:val="21"/>
          <w:szCs w:val="21"/>
        </w:rPr>
        <w:t xml:space="preserve">Una sola cuenta de usuario para AuraChat y AuraPlan — credenciales verificadas de forma centralizada en lugar de gestionarse dos veces.</w:t>
      </w:r>
    </w:p>
    <w:p>
      <w:pPr>
        <w:spacing w:after="40"/>
      </w:pPr>
      <w:r>
        <w:rPr>
          <w:b/>
          <w:bCs/>
          <w:color w:val="0891B2"/>
          <w:sz w:val="22"/>
          <w:szCs w:val="22"/>
        </w:rPr>
        <w:t xml:space="preserve">● </w:t>
      </w:r>
      <w:r>
        <w:rPr>
          <w:b/>
          <w:bCs/>
          <w:sz w:val="22"/>
          <w:szCs w:val="22"/>
        </w:rPr>
        <w:t xml:space="preserve">Integración con Active Directory</w:t>
      </w:r>
    </w:p>
    <w:p>
      <w:pPr>
        <w:spacing w:after="200"/>
        <w:ind w:left="288"/>
      </w:pPr>
      <w:r>
        <w:rPr>
          <w:color w:val="475569"/>
          <w:sz w:val="21"/>
          <w:szCs w:val="21"/>
        </w:rPr>
        <w:t xml:space="preserve">Importa automáticamente las cuentas de empresa existentes desde tu Active Directory, incluyendo su propio servidor LDAP para otros sistemas.</w:t>
      </w:r>
    </w:p>
    <w:p>
      <w:pPr>
        <w:spacing w:after="40"/>
      </w:pPr>
      <w:r>
        <w:rPr>
          <w:b/>
          <w:bCs/>
          <w:color w:val="0891B2"/>
          <w:sz w:val="22"/>
          <w:szCs w:val="22"/>
        </w:rPr>
        <w:t xml:space="preserve">● </w:t>
      </w:r>
      <w:r>
        <w:rPr>
          <w:b/>
          <w:bCs/>
          <w:sz w:val="22"/>
          <w:szCs w:val="22"/>
        </w:rPr>
        <w:t xml:space="preserve">Autenticación de dos factores centralizada</w:t>
      </w:r>
    </w:p>
    <w:p>
      <w:pPr>
        <w:spacing w:after="200"/>
        <w:ind w:left="288"/>
      </w:pPr>
      <w:r>
        <w:rPr>
          <w:color w:val="475569"/>
          <w:sz w:val="21"/>
          <w:szCs w:val="21"/>
        </w:rPr>
        <w:t xml:space="preserve">Un único código 2FA por persona, válido para todos los productos conectados — ya no es necesario configurarlo por separado.</w:t>
      </w:r>
    </w:p>
    <w:p>
      <w:pPr>
        <w:spacing w:after="40"/>
      </w:pPr>
      <w:r>
        <w:rPr>
          <w:b/>
          <w:bCs/>
          <w:color w:val="0891B2"/>
          <w:sz w:val="22"/>
          <w:szCs w:val="22"/>
        </w:rPr>
        <w:t xml:space="preserve">● </w:t>
      </w:r>
      <w:r>
        <w:rPr>
          <w:b/>
          <w:bCs/>
          <w:sz w:val="22"/>
          <w:szCs w:val="22"/>
        </w:rPr>
        <w:t xml:space="preserve">Administración</w:t>
      </w:r>
    </w:p>
    <w:p>
      <w:pPr>
        <w:spacing w:after="200"/>
        <w:ind w:left="288"/>
      </w:pPr>
      <w:r>
        <w:rPr>
          <w:color w:val="475569"/>
          <w:sz w:val="21"/>
          <w:szCs w:val="21"/>
        </w:rPr>
        <w:t xml:space="preserve">Copia de seguridad y restauración, SSL automático, política de privacidad propia, gestión de licencias con periodo de prueba.</w:t>
      </w:r>
    </w:p>
    <w:p>
      <w:pPr>
        <w:pStyle w:val="Heading1"/>
        <w:spacing w:after="160" w:before="200"/>
      </w:pPr>
      <w:r>
        <w:t xml:space="preserve">Primeros pasos</w:t>
      </w:r>
    </w:p>
    <w:p>
      <w:pPr>
        <w:spacing w:after="120"/>
      </w:pPr>
      <w:r>
        <w:rPr>
          <w:b/>
          <w:bCs/>
          <w:color w:val="0891B2"/>
          <w:sz w:val="21"/>
          <w:szCs w:val="21"/>
        </w:rPr>
        <w:t xml:space="preserve">1. </w:t>
      </w:r>
      <w:r>
        <w:rPr>
          <w:sz w:val="21"/>
          <w:szCs w:val="21"/>
        </w:rPr>
        <w:t xml:space="preserve">Alternativa: descargue el paquete de inicio rápido ya preparado desde el sitio web — utiliza imágenes de Docker Hub ya creadas, no requiere compilación.</w:t>
      </w:r>
    </w:p>
    <w:p>
      <w:pPr>
        <w:spacing w:after="120"/>
      </w:pPr>
      <w:r>
        <w:rPr>
          <w:b/>
          <w:bCs/>
          <w:color w:val="0891B2"/>
          <w:sz w:val="21"/>
          <w:szCs w:val="21"/>
        </w:rPr>
        <w:t xml:space="preserve">2. </w:t>
      </w:r>
      <w:r>
        <w:rPr>
          <w:sz w:val="21"/>
          <w:szCs w:val="21"/>
        </w:rPr>
        <w:t xml:space="preserve">Instalar Docker y Docker Compose en su servidor/NAS, si aún no están presentes.</w:t>
      </w:r>
    </w:p>
    <w:p>
      <w:pPr>
        <w:spacing w:after="120"/>
      </w:pPr>
      <w:r>
        <w:rPr>
          <w:b/>
          <w:bCs/>
          <w:color w:val="0891B2"/>
          <w:sz w:val="21"/>
          <w:szCs w:val="21"/>
        </w:rPr>
        <w:t xml:space="preserve">3. </w:t>
      </w:r>
      <w:r>
        <w:rPr>
          <w:sz w:val="21"/>
          <w:szCs w:val="21"/>
        </w:rPr>
        <w:t xml:space="preserve">Descomprimir el paquete de instalación de AuraDirect en una carpeta del servidor (p. ej. /opt/AuraDirect).</w:t>
      </w:r>
    </w:p>
    <w:p>
      <w:pPr>
        <w:spacing w:after="120"/>
      </w:pPr>
      <w:r>
        <w:rPr>
          <w:b/>
          <w:bCs/>
          <w:color w:val="0891B2"/>
          <w:sz w:val="21"/>
          <w:szCs w:val="21"/>
        </w:rPr>
        <w:t xml:space="preserve">4. </w:t>
      </w:r>
      <w:r>
        <w:rPr>
          <w:sz w:val="21"/>
          <w:szCs w:val="21"/>
        </w:rPr>
        <w:t xml:space="preserve">En el archivo .env, introducir sus propios valores aleatorios para SESSION_SECRET y AURADIRECT_ADMIN_PASSWORD.</w:t>
      </w:r>
    </w:p>
    <w:p>
      <w:pPr>
        <w:spacing w:after="120"/>
      </w:pPr>
      <w:r>
        <w:rPr>
          <w:b/>
          <w:bCs/>
          <w:color w:val="0891B2"/>
          <w:sz w:val="21"/>
          <w:szCs w:val="21"/>
        </w:rPr>
        <w:t xml:space="preserve">5. </w:t>
      </w:r>
      <w:r>
        <w:rPr>
          <w:sz w:val="21"/>
          <w:szCs w:val="21"/>
        </w:rPr>
        <w:t xml:space="preserve">Iniciar con "docker compose up -d --build".</w:t>
      </w:r>
    </w:p>
    <w:p>
      <w:pPr>
        <w:spacing w:after="120"/>
      </w:pPr>
      <w:r>
        <w:rPr>
          <w:b/>
          <w:bCs/>
          <w:color w:val="0891B2"/>
          <w:sz w:val="21"/>
          <w:szCs w:val="21"/>
        </w:rPr>
        <w:t xml:space="preserve">6. </w:t>
      </w:r>
      <w:r>
        <w:rPr>
          <w:sz w:val="21"/>
          <w:szCs w:val="21"/>
        </w:rPr>
        <w:t xml:space="preserve">En AuraChat y AuraPlan, en Panel de administración → API, introducir la dirección de AuraDirect y la clave de servicio para activar el inicio de sesión central.</w:t>
      </w:r>
    </w:p>
    <w:p>
      <w:pPr>
        <w:pStyle w:val="Heading1"/>
        <w:spacing w:after="120" w:before="200"/>
      </w:pPr>
      <w:r>
        <w:t xml:space="preserve">Precios</w:t>
      </w:r>
    </w:p>
    <w:p>
      <w:pPr>
        <w:spacing w:after="160"/>
      </w:pPr>
      <w:r>
        <w:rPr>
          <w:i/>
          <w:iCs/>
          <w:color w:val="475569"/>
          <w:sz w:val="19"/>
          <w:szCs w:val="19"/>
        </w:rPr>
        <w:t xml:space="preserve">Todos los precios son orientativos, sin IVA.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3000"/>
        <w:gridCol w:w="4000"/>
      </w:tblGrid>
      <w:tr>
        <w:tc>
          <w:tcPr>
            <w:tcW w:type="pct" w:w="33%"/>
            <w:shd w:fill="0F172A" w:val="clea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—</w:t>
            </w:r>
          </w:p>
        </w:tc>
        <w:tc>
          <w:tcPr>
            <w:tcW w:type="pct" w:w="33%"/>
            <w:shd w:fill="0F172A" w:val="clea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Preis</w:t>
            </w:r>
          </w:p>
        </w:tc>
        <w:tc>
          <w:tcPr>
            <w:tcW w:type="pct" w:w="33%"/>
            <w:shd w:fill="0F172A" w:val="clea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Umfang</w:t>
            </w:r>
          </w:p>
        </w:tc>
      </w:tr>
      <w:tr>
        <w:tc>
          <w:tcPr>
            <w:tcW w:type="pct" w:w="33%"/>
          </w:tcPr>
          <w:p>
            <w:r>
              <w:rPr>
                <w:b/>
                <w:bCs/>
                <w:sz w:val="20"/>
                <w:szCs w:val="20"/>
              </w:rPr>
              <w:t xml:space="preserve">Incluido</w:t>
            </w:r>
          </w:p>
        </w:tc>
        <w:tc>
          <w:tcPr>
            <w:tcW w:type="pct" w:w="33%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gratis</w:t>
            </w:r>
          </w:p>
        </w:tc>
        <w:tc>
          <w:tcPr>
            <w:tcW w:type="pct" w:w="33%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Al usar al menos otro producto Aura: inicio de sesión central, integración con Active Directory, 2FA centralizada.</w:t>
            </w:r>
          </w:p>
        </w:tc>
      </w:tr>
      <w:tr>
        <w:tc>
          <w:tcPr>
            <w:tcW w:type="pct" w:w="33%"/>
          </w:tcPr>
          <w:p>
            <w:r>
              <w:rPr>
                <w:b/>
                <w:bCs/>
                <w:sz w:val="20"/>
                <w:szCs w:val="20"/>
              </w:rPr>
              <w:t xml:space="preserve">Independiente</w:t>
            </w:r>
          </w:p>
        </w:tc>
        <w:tc>
          <w:tcPr>
            <w:tcW w:type="pct" w:w="33%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CHF 15.– / instalación / mes</w:t>
            </w:r>
          </w:p>
        </w:tc>
        <w:tc>
          <w:tcPr>
            <w:tcW w:type="pct" w:w="33%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Todas las funciones, incluso sin otro producto Aura.</w:t>
            </w:r>
          </w:p>
        </w:tc>
      </w:tr>
    </w:tbl>
    <w:p>
      <w:pPr>
        <w:pBdr>
          <w:top w:val="single" w:color="CBD5E1" w:sz="6" w:space="12"/>
        </w:pBdr>
        <w:spacing w:before="400"/>
      </w:pPr>
      <w:r>
        <w:rPr>
          <w:b/>
          <w:bCs/>
          <w:color w:val="0891B2"/>
          <w:sz w:val="20"/>
          <w:szCs w:val="20"/>
        </w:rPr>
        <w:t xml:space="preserve">¿Preguntas o desea una demo en directo? info@gerber-backoffice-solutions.com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3d377ccd4cd5e725a3edc7e1d6dc2d1aadc21e8d.jp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2026-09-28T12:15:14.595Z</dcterms:created>
  <dcterms:modified xsi:type="dcterms:W3CDTF">2026-09-28T12:15:14.595Z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