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563EB"/>
          <w:sz w:val="56"/>
          <w:szCs w:val="56"/>
        </w:rPr>
        <w:t xml:space="preserve">AuraChat</w:t>
      </w:r>
    </w:p>
    <w:p>
      <w:pPr>
        <w:spacing w:after="400"/>
      </w:pPr>
      <w:r>
        <w:rPr>
          <w:i/>
          <w:iCs/>
          <w:color w:val="334155"/>
          <w:sz w:val="22"/>
          <w:szCs w:val="22"/>
        </w:rPr>
        <w:t xml:space="preserve">Manuel d'administration — Installation, configuration, exploitation</w:t>
      </w:r>
    </w:p>
    <w:p>
      <w:pPr>
        <w:spacing w:after="120"/>
      </w:pPr>
      <w:r>
        <w:rPr>
          <w:color w:val="1E293B"/>
          <w:sz w:val="20"/>
          <w:szCs w:val="20"/>
        </w:rPr>
        <w:t xml:space="preserve">Ce manuel s'adresse aux administratrices et administrateurs techniques qui hébergent, installent et exploitent AuraChat eux-mêmes. Pour l'utilisation elle-même, voir le manuel utilisateur séparé.</w:t>
      </w:r>
    </w:p>
    <w:p>
      <w:pPr>
        <w:pStyle w:val="Heading1"/>
        <w:pBdr>
          <w:bottom w:val="single" w:color="2563EB" w:sz="8" w:space="4"/>
        </w:pBdr>
        <w:spacing w:after="160" w:before="380"/>
      </w:pPr>
      <w:r>
        <w:rPr>
          <w:b/>
          <w:bCs/>
          <w:color w:val="0F172A"/>
          <w:sz w:val="26"/>
          <w:szCs w:val="26"/>
        </w:rPr>
        <w:t xml:space="preserve">1. Prérequis système</w:t>
      </w:r>
    </w:p>
    <w:p>
      <w:pPr>
        <w:pStyle w:val="ListParagraph"/>
        <w:numPr>
          <w:ilvl w:val="0"/>
          <w:numId w:val="2"/>
        </w:numPr>
        <w:spacing w:after="60"/>
      </w:pPr>
      <w:r>
        <w:rPr>
          <w:color w:val="1E293B"/>
          <w:sz w:val="20"/>
          <w:szCs w:val="20"/>
        </w:rPr>
        <w:t xml:space="preserve">Hôte Linux avec Docker &amp; Docker Compose (p. ex. NAS Synology, serveur Ubuntu, ou similaire)</w:t>
      </w:r>
    </w:p>
    <w:p>
      <w:pPr>
        <w:pStyle w:val="ListParagraph"/>
        <w:numPr>
          <w:ilvl w:val="0"/>
          <w:numId w:val="2"/>
        </w:numPr>
        <w:spacing w:after="60"/>
      </w:pPr>
      <w:r>
        <w:rPr>
          <w:color w:val="1E293B"/>
          <w:sz w:val="20"/>
          <w:szCs w:val="20"/>
        </w:rPr>
        <w:t xml:space="preserve">Au moins 2 Go de RAM, 4 Go+ recommandés pour le fonctionnement de base</w:t>
      </w:r>
    </w:p>
    <w:p>
      <w:pPr>
        <w:pStyle w:val="ListParagraph"/>
        <w:numPr>
          <w:ilvl w:val="0"/>
          <w:numId w:val="2"/>
        </w:numPr>
        <w:spacing w:after="60"/>
      </w:pPr>
      <w:r>
        <w:rPr>
          <w:color w:val="1E293B"/>
          <w:sz w:val="20"/>
          <w:szCs w:val="20"/>
        </w:rPr>
        <w:t xml:space="preserve">Pour Aura Academy en plus : plusieurs Go d'espace libre et nettement plus de temps de calcul (réalistement plusieurs heures par cycle d'entraînement sur CPU seul)</w:t>
      </w:r>
    </w:p>
    <w:p>
      <w:pPr>
        <w:pStyle w:val="ListParagraph"/>
        <w:numPr>
          <w:ilvl w:val="0"/>
          <w:numId w:val="2"/>
        </w:numPr>
        <w:spacing w:after="60"/>
      </w:pPr>
      <w:r>
        <w:rPr>
          <w:color w:val="1E293B"/>
          <w:sz w:val="20"/>
          <w:szCs w:val="20"/>
        </w:rPr>
        <w:t xml:space="preserve">Un serveur IA accessible sur le même réseau (p. ex. Ollama, LM Studio) ou un accès cloud compatible OpenAI</w:t>
      </w:r>
    </w:p>
    <w:p>
      <w:pPr>
        <w:pStyle w:val="ListParagraph"/>
        <w:numPr>
          <w:ilvl w:val="0"/>
          <w:numId w:val="2"/>
        </w:numPr>
        <w:spacing w:after="60"/>
      </w:pPr>
      <w:r>
        <w:rPr>
          <w:color w:val="1E293B"/>
          <w:sz w:val="20"/>
          <w:szCs w:val="20"/>
        </w:rPr>
        <w:t xml:space="preserve">Optionnel : un domaine propre pour un certificat SSL automatique via Let's Encrypt</w:t>
      </w:r>
    </w:p>
    <w:p>
      <w:pPr>
        <w:pStyle w:val="Heading1"/>
        <w:pBdr>
          <w:bottom w:val="single" w:color="2563EB" w:sz="8" w:space="4"/>
        </w:pBdr>
        <w:spacing w:after="160" w:before="380"/>
      </w:pPr>
      <w:r>
        <w:rPr>
          <w:b/>
          <w:bCs/>
          <w:color w:val="0F172A"/>
          <w:sz w:val="26"/>
          <w:szCs w:val="26"/>
        </w:rPr>
        <w:t xml:space="preserve">2. Installation</w:t>
      </w:r>
    </w:p>
    <w:p>
      <w:pPr>
        <w:pStyle w:val="ListParagraph"/>
        <w:numPr>
          <w:ilvl w:val="0"/>
          <w:numId w:val="3"/>
        </w:numPr>
        <w:spacing w:after="60"/>
      </w:pPr>
      <w:r>
        <w:rPr>
          <w:color w:val="1E293B"/>
          <w:sz w:val="20"/>
          <w:szCs w:val="20"/>
        </w:rPr>
        <w:t xml:space="preserve">Copier le dossier du projet sur le serveur (p. ex. /volume1/docker/AuraChat).</w:t>
      </w:r>
    </w:p>
    <w:p>
      <w:pPr>
        <w:pStyle w:val="ListParagraph"/>
        <w:numPr>
          <w:ilvl w:val="0"/>
          <w:numId w:val="3"/>
        </w:numPr>
        <w:spacing w:after="60"/>
      </w:pPr>
      <w:r>
        <w:rPr>
          <w:color w:val="1E293B"/>
          <w:sz w:val="20"/>
          <w:szCs w:val="20"/>
        </w:rPr>
        <w:t xml:space="preserve">Copier le fichier .env.example en .env et y indiquer vos propres valeurs :</w:t>
      </w:r>
    </w:p>
    <w:p>
      <w:pPr>
        <w:shd w:fill="0F172A" w:val="clear"/>
        <w:spacing w:after="140"/>
      </w:pPr>
      <w:r>
        <w:rPr>
          <w:rFonts w:ascii="Courier New" w:cs="Courier New" w:eastAsia="Courier New" w:hAnsi="Courier New"/>
          <w:color w:val="E2E8F0"/>
          <w:sz w:val="17"/>
          <w:szCs w:val="17"/>
        </w:rPr>
        <w:t xml:space="preserve">SESSION_SECRET=&lt;générer avec p. ex. openssl rand -hex 32&gt;</w:t>
      </w:r>
      <w:r>
        <w:br/>
        <w:t xml:space="preserve"/>
      </w:r>
      <w:r>
        <w:rPr>
          <w:rFonts w:ascii="Courier New" w:cs="Courier New" w:eastAsia="Courier New" w:hAnsi="Courier New"/>
          <w:color w:val="E2E8F0"/>
          <w:sz w:val="17"/>
          <w:szCs w:val="17"/>
        </w:rPr>
        <w:t xml:space="preserve">LICENSE_SECRET=&lt;votre propre valeur secrète&gt;</w:t>
      </w:r>
    </w:p>
    <w:p>
      <w:pPr>
        <w:pStyle w:val="ListParagraph"/>
        <w:numPr>
          <w:ilvl w:val="0"/>
          <w:numId w:val="3"/>
        </w:numPr>
        <w:spacing w:after="60"/>
      </w:pPr>
      <w:r>
        <w:rPr>
          <w:color w:val="1E293B"/>
          <w:sz w:val="20"/>
          <w:szCs w:val="20"/>
        </w:rPr>
        <w:t xml:space="preserve">Construire et démarrer les conteneurs :</w:t>
      </w:r>
    </w:p>
    <w:p>
      <w:pPr>
        <w:shd w:fill="0F172A" w:val="clear"/>
        <w:spacing w:after="140"/>
      </w:pPr>
      <w:r>
        <w:rPr>
          <w:rFonts w:ascii="Courier New" w:cs="Courier New" w:eastAsia="Courier New" w:hAnsi="Courier New"/>
          <w:color w:val="E2E8F0"/>
          <w:sz w:val="17"/>
          <w:szCs w:val="17"/>
        </w:rPr>
        <w:t xml:space="preserve">sudo docker compose up -d --build</w:t>
      </w:r>
    </w:p>
    <w:p>
      <w:pPr>
        <w:pStyle w:val="ListParagraph"/>
        <w:numPr>
          <w:ilvl w:val="0"/>
          <w:numId w:val="3"/>
        </w:numPr>
        <w:spacing w:after="60"/>
      </w:pPr>
      <w:r>
        <w:rPr>
          <w:color w:val="1E293B"/>
          <w:sz w:val="20"/>
          <w:szCs w:val="20"/>
        </w:rPr>
        <w:t xml:space="preserve">AuraChat est ensuite accessible à http://&lt;IP-du-serveur&gt;:8091.</w:t>
      </w:r>
    </w:p>
    <w:p>
      <w:pPr>
        <w:pBdr>
          <w:left w:val="single" w:color="DC2626" w:sz="16" w:space="8"/>
        </w:pBdr>
        <w:shd w:fill="FEF2F2" w:val="clear"/>
        <w:spacing w:after="140"/>
      </w:pPr>
      <w:r>
        <w:rPr>
          <w:b/>
          <w:bCs/>
          <w:color w:val="B91C1C"/>
          <w:sz w:val="19"/>
          <w:szCs w:val="19"/>
        </w:rPr>
        <w:t xml:space="preserve">⚠ Attention : </w:t>
      </w:r>
      <w:r>
        <w:rPr>
          <w:color w:val="7F1D1D"/>
          <w:sz w:val="19"/>
          <w:szCs w:val="19"/>
        </w:rPr>
        <w:t xml:space="preserve">Ne jamais partager SESSION_SECRET et LICENSE_SECRET, ni les intégrer à un dépôt public. LICENSE_SECRET doit correspondre à la valeur du projet serveur de licences séparé, si celui-ci est utilisé.</w:t>
      </w:r>
    </w:p>
    <w:p>
      <w:pPr>
        <w:pStyle w:val="Heading1"/>
        <w:pBdr>
          <w:bottom w:val="single" w:color="2563EB" w:sz="8" w:space="4"/>
        </w:pBdr>
        <w:spacing w:after="160" w:before="380"/>
      </w:pPr>
      <w:r>
        <w:rPr>
          <w:b/>
          <w:bCs/>
          <w:color w:val="0F172A"/>
          <w:sz w:val="26"/>
          <w:szCs w:val="26"/>
        </w:rPr>
        <w:t xml:space="preserve">3. Configuration initiale</w:t>
      </w:r>
    </w:p>
    <w:p>
      <w:pPr>
        <w:spacing w:after="120"/>
      </w:pPr>
      <w:r>
        <w:rPr>
          <w:color w:val="1E293B"/>
          <w:sz w:val="20"/>
          <w:szCs w:val="20"/>
        </w:rPr>
        <w:t xml:space="preserve">Le nom d'utilisateur « admin » est défini de façon permanente comme administrateur (indépendamment de la base de données). Si un tel compte n'existe pas encore au premier démarrage, il est créé automatiquement avec le mot de passe « admin ».</w:t>
      </w:r>
    </w:p>
    <w:p>
      <w:pPr>
        <w:pBdr>
          <w:left w:val="single" w:color="DC2626" w:sz="16" w:space="8"/>
        </w:pBdr>
        <w:shd w:fill="FEF2F2" w:val="clear"/>
        <w:spacing w:after="140"/>
      </w:pPr>
      <w:r>
        <w:rPr>
          <w:b/>
          <w:bCs/>
          <w:color w:val="B91C1C"/>
          <w:sz w:val="19"/>
          <w:szCs w:val="19"/>
        </w:rPr>
        <w:t xml:space="preserve">⚠ Attention : </w:t>
      </w:r>
      <w:r>
        <w:rPr>
          <w:color w:val="7F1D1D"/>
          <w:sz w:val="19"/>
          <w:szCs w:val="19"/>
        </w:rPr>
        <w:t xml:space="preserve">Merci de changer immédiatement le mot de passe du compte admin après la première connexion (Menu → Mot de passe).</w:t>
      </w:r>
    </w:p>
    <w:p>
      <w:pPr>
        <w:spacing w:after="120"/>
      </w:pPr>
      <w:r>
        <w:rPr>
          <w:color w:val="1E293B"/>
          <w:sz w:val="20"/>
          <w:szCs w:val="20"/>
        </w:rPr>
        <w:t xml:space="preserve">Pendant 14 jours à partir de la première utilisation, toutes les fonctions Premium sont automatiquement débloquées en mode d'essai ; ensuite, les limites de la licence active s'appliquent (voir section 6).</w:t>
      </w:r>
    </w:p>
    <w:p>
      <w:pPr>
        <w:pStyle w:val="Heading1"/>
        <w:pBdr>
          <w:bottom w:val="single" w:color="2563EB" w:sz="8" w:space="4"/>
        </w:pBdr>
        <w:spacing w:after="160" w:before="380"/>
      </w:pPr>
      <w:r>
        <w:rPr>
          <w:b/>
          <w:bCs/>
          <w:color w:val="0F172A"/>
          <w:sz w:val="26"/>
          <w:szCs w:val="26"/>
        </w:rPr>
        <w:t xml:space="preserve">4. Connecter un serveur IA</w:t>
      </w:r>
    </w:p>
    <w:p>
      <w:pPr>
        <w:spacing w:after="120"/>
      </w:pPr>
      <w:r>
        <w:rPr>
          <w:color w:val="1E293B"/>
          <w:sz w:val="20"/>
          <w:szCs w:val="20"/>
        </w:rPr>
        <w:t xml:space="preserve">Sous Menu → Recherche de modèle &amp; Serveur (visible uniquement pour les administrateurs), le serveur IA principal est configuré : plateforme (Ollama, LM Studio, llama.cpp, compatible OpenAI ou OpenAI Cloud), hôte/port ou clé API, ainsi que le modèle souhaité.</w:t>
      </w:r>
    </w:p>
    <w:p>
      <w:pPr>
        <w:spacing w:after="120"/>
      </w:pPr>
      <w:r>
        <w:rPr>
          <w:color w:val="1E293B"/>
          <w:sz w:val="20"/>
          <w:szCs w:val="20"/>
        </w:rPr>
        <w:t xml:space="preserve">Il est également possible d'y configurer un modèle de codage séparé et un second modèle pour la vérification de précision (les deux Premium).</w:t>
      </w:r>
    </w:p>
    <w:p>
      <w:pPr>
        <w:pStyle w:val="Heading1"/>
        <w:pBdr>
          <w:bottom w:val="single" w:color="2563EB" w:sz="8" w:space="4"/>
        </w:pBdr>
        <w:spacing w:after="160" w:before="380"/>
      </w:pPr>
      <w:r>
        <w:rPr>
          <w:b/>
          <w:bCs/>
          <w:color w:val="0F172A"/>
          <w:sz w:val="26"/>
          <w:szCs w:val="26"/>
        </w:rPr>
        <w:t xml:space="preserve">5. Domaine &amp; SSL</w:t>
      </w:r>
    </w:p>
    <w:p>
      <w:pPr>
        <w:spacing w:after="120"/>
      </w:pPr>
      <w:r>
        <w:rPr>
          <w:color w:val="1E293B"/>
          <w:sz w:val="20"/>
          <w:szCs w:val="20"/>
        </w:rPr>
        <w:t xml:space="preserve">Dans le panneau d'administration, sous « SSL », vous pouvez indiquer votre propre domaine. AuraChat prend ensuite automatiquement en charge l'émission d'un certificat Let's Encrypt via le reverse-proxy Caddy fourni. Fonctionne par défaut directement sur les ports 80/443 — l'installation est ainsi accessible sans numéro de port dans l'URL.</w:t>
      </w:r>
    </w:p>
    <w:p>
      <w:pPr>
        <w:pBdr>
          <w:left w:val="single" w:color="DC2626" w:sz="16" w:space="8"/>
        </w:pBdr>
        <w:shd w:fill="FEF2F2" w:val="clear"/>
        <w:spacing w:after="140"/>
      </w:pPr>
      <w:r>
        <w:rPr>
          <w:b/>
          <w:bCs/>
          <w:color w:val="B91C1C"/>
          <w:sz w:val="19"/>
          <w:szCs w:val="19"/>
        </w:rPr>
        <w:t xml:space="preserve">⚠ Attention : </w:t>
      </w:r>
      <w:r>
        <w:rPr>
          <w:color w:val="7F1D1D"/>
          <w:sz w:val="19"/>
          <w:szCs w:val="19"/>
        </w:rPr>
        <w:t xml:space="preserve">Le routeur doit rediriger les ports externes 80 et 443 vers les mêmes ports de l'installation, sinon l'émission du certificat échoue. Si 80/443 sont déjà utilisés sur le système cible, les ports peuvent être ajustés dans docker-compose.yml (puis rediriger en conséquence en interne sur le routeur).</w:t>
      </w:r>
    </w:p>
    <w:p>
      <w:pPr>
        <w:pBdr>
          <w:left w:val="single" w:color="2563EB" w:sz="16" w:space="8"/>
        </w:pBdr>
        <w:shd w:fill="EFF6FF" w:val="clear"/>
        <w:spacing w:after="140"/>
      </w:pPr>
      <w:r>
        <w:rPr>
          <w:b/>
          <w:bCs/>
          <w:color w:val="2563EB"/>
          <w:sz w:val="19"/>
          <w:szCs w:val="19"/>
        </w:rPr>
        <w:t xml:space="preserve">💡 Astuce : </w:t>
      </w:r>
      <w:r>
        <w:rPr>
          <w:color w:val="1E3A8A"/>
          <w:sz w:val="19"/>
          <w:szCs w:val="19"/>
        </w:rPr>
        <w:t xml:space="preserve">Après avoir saisi le domaine dans le panneau d'administration, toujours cliquer sur « Enregistrer », même si le domaine semble déjà correct — cela redéclenche la transmission à Caddy. En cas de problème : sudo docker logs aurachat-caddy indique la raison exacte pour laquelle aucun certificat n'est délivré.</w:t>
      </w:r>
    </w:p>
    <w:p>
      <w:pPr>
        <w:pStyle w:val="Heading1"/>
        <w:pBdr>
          <w:bottom w:val="single" w:color="2563EB" w:sz="8" w:space="4"/>
        </w:pBdr>
        <w:spacing w:after="160" w:before="380"/>
      </w:pPr>
      <w:r>
        <w:rPr>
          <w:b/>
          <w:bCs/>
          <w:color w:val="0F172A"/>
          <w:sz w:val="26"/>
          <w:szCs w:val="26"/>
        </w:rPr>
        <w:t xml:space="preserve">6. Gestion des utilisateurs &amp; des licences</w:t>
      </w:r>
    </w:p>
    <w:p>
      <w:pPr>
        <w:pStyle w:val="Heading2"/>
        <w:spacing w:after="100" w:before="220"/>
      </w:pPr>
      <w:r>
        <w:rPr>
          <w:b/>
          <w:bCs/>
          <w:color w:val="2563EB"/>
          <w:sz w:val="21"/>
          <w:szCs w:val="21"/>
        </w:rPr>
        <w:t xml:space="preserve">Plusieurs comptes administrateurs</w:t>
      </w:r>
    </w:p>
    <w:p>
      <w:pPr>
        <w:spacing w:after="120"/>
      </w:pPr>
      <w:r>
        <w:rPr>
          <w:color w:val="1E293B"/>
          <w:sz w:val="20"/>
          <w:szCs w:val="20"/>
        </w:rPr>
        <w:t xml:space="preserve">De nouveaux comptes peuvent être créés dans le panneau d'administration sous « Utilisateurs ». Le commutateur « Doit devenir administrateur » n'est volontairement disponible qu'ici — l'auto-inscription publique ne peut jamais créer de comptes admin. Les utilisateurs existants peuvent être promus ou rétrogradés ultérieurement via les boutons de la liste (sauf le compte fixe « admin »). Chaque personne de la liste affiche directement un badge « Admin » ou « Utilisateur ».</w:t>
      </w:r>
    </w:p>
    <w:p>
      <w:pPr>
        <w:pStyle w:val="Heading2"/>
        <w:spacing w:after="100" w:before="220"/>
      </w:pPr>
      <w:r>
        <w:rPr>
          <w:b/>
          <w:bCs/>
          <w:color w:val="2563EB"/>
          <w:sz w:val="21"/>
          <w:szCs w:val="21"/>
        </w:rPr>
        <w:t xml:space="preserve">Utilisation de la licence</w:t>
      </w:r>
    </w:p>
    <w:p>
      <w:pPr>
        <w:spacing w:after="120"/>
      </w:pPr>
      <w:r>
        <w:rPr>
          <w:color w:val="1E293B"/>
          <w:sz w:val="20"/>
          <w:szCs w:val="20"/>
        </w:rPr>
        <w:t xml:space="preserve">En haut de l'onglet « Utilisateurs » ainsi que de l'onglet « Licence », une ligne indique l'utilisation actuelle : combien de sièges utilisateur et administrateur de la licence sont déjà occupés (p. ex. « 6 / 10 utilisateurs, 2 / 2 administrateurs »).</w:t>
      </w:r>
    </w:p>
    <w:p>
      <w:pPr>
        <w:pStyle w:val="Heading2"/>
        <w:spacing w:after="100" w:before="220"/>
      </w:pPr>
      <w:r>
        <w:rPr>
          <w:b/>
          <w:bCs/>
          <w:color w:val="2563EB"/>
          <w:sz w:val="21"/>
          <w:szCs w:val="21"/>
        </w:rPr>
        <w:t xml:space="preserve">Activer une licence</w:t>
      </w:r>
    </w:p>
    <w:p>
      <w:pPr>
        <w:spacing w:after="120"/>
      </w:pPr>
      <w:r>
        <w:rPr>
          <w:color w:val="1E293B"/>
          <w:sz w:val="20"/>
          <w:szCs w:val="20"/>
        </w:rPr>
        <w:t xml:space="preserve">Dans le panneau d'administration, sous « Licence », la clé de licence reçue est saisie. Elle définit : quelles fonctions Premium sont actives, une date d'expiration optionnelle, ainsi que des limites distinctes pour le nombre total d'utilisateurs et d'administrateurs.</w:t>
      </w:r>
    </w:p>
    <w:p>
      <w:pPr>
        <w:pBdr>
          <w:left w:val="single" w:color="2563EB" w:sz="16" w:space="8"/>
        </w:pBdr>
        <w:shd w:fill="EFF6FF" w:val="clear"/>
        <w:spacing w:after="140"/>
      </w:pPr>
      <w:r>
        <w:rPr>
          <w:b/>
          <w:bCs/>
          <w:color w:val="2563EB"/>
          <w:sz w:val="19"/>
          <w:szCs w:val="19"/>
        </w:rPr>
        <w:t xml:space="preserve">💡 Astuce : </w:t>
      </w:r>
      <w:r>
        <w:rPr>
          <w:color w:val="1E3A8A"/>
          <w:sz w:val="19"/>
          <w:szCs w:val="19"/>
        </w:rPr>
        <w:t xml:space="preserve">Sans licence active, une dotation de base gratuite de 3 utilisateurs et 1 administrateur s'applique.</w:t>
      </w:r>
    </w:p>
    <w:p>
      <w:pPr>
        <w:pStyle w:val="Heading2"/>
        <w:spacing w:after="100" w:before="220"/>
      </w:pPr>
      <w:r>
        <w:rPr>
          <w:b/>
          <w:bCs/>
          <w:color w:val="2563EB"/>
          <w:sz w:val="21"/>
          <w:szCs w:val="21"/>
        </w:rPr>
        <w:t xml:space="preserve">Connexion au serveur de licences (optionnel)</w:t>
      </w:r>
    </w:p>
    <w:p>
      <w:pPr>
        <w:spacing w:after="120"/>
      </w:pPr>
      <w:r>
        <w:rPr>
          <w:color w:val="1E293B"/>
          <w:sz w:val="20"/>
          <w:szCs w:val="20"/>
        </w:rPr>
        <w:t xml:space="preserve">Dans le même onglet, une adresse de serveur de licences peut être renseignée (domaine/IP uniquement, sans « http:// » et sans port — le port fixe 8451 est ajouté automatiquement). Toutes les 12 heures, l'installation envoie alors un bref signal (clé de licence, nombre d'utilisateurs actuel, version — aucun contenu de chat) afin qu'il soit visible sur le serveur de licences que cette installation est active. « Envoyer maintenant » teste cela immédiatement.</w:t>
      </w:r>
    </w:p>
    <w:p>
      <w:pPr>
        <w:pBdr>
          <w:left w:val="single" w:color="DC2626" w:sz="16" w:space="8"/>
        </w:pBdr>
        <w:shd w:fill="FEF2F2" w:val="clear"/>
        <w:spacing w:after="140"/>
      </w:pPr>
      <w:r>
        <w:rPr>
          <w:b/>
          <w:bCs/>
          <w:color w:val="B91C1C"/>
          <w:sz w:val="19"/>
          <w:szCs w:val="19"/>
        </w:rPr>
        <w:t xml:space="preserve">⚠ Attention : </w:t>
      </w:r>
      <w:r>
        <w:rPr>
          <w:color w:val="7F1D1D"/>
          <w:sz w:val="19"/>
          <w:szCs w:val="19"/>
        </w:rPr>
        <w:t xml:space="preserve">Volontairement désactivé par défaut (champ vide). Quiconque active cette fonction devrait en informer ses clients de manière transparente dans sa propre documentation/politique de confidentialité.</w:t>
      </w:r>
    </w:p>
    <w:p>
      <w:pPr>
        <w:pStyle w:val="Heading1"/>
        <w:pBdr>
          <w:bottom w:val="single" w:color="2563EB" w:sz="8" w:space="4"/>
        </w:pBdr>
        <w:spacing w:after="160" w:before="380"/>
      </w:pPr>
      <w:r>
        <w:rPr>
          <w:b/>
          <w:bCs/>
          <w:color w:val="0F172A"/>
          <w:sz w:val="26"/>
          <w:szCs w:val="26"/>
        </w:rPr>
        <w:t xml:space="preserve">7. Marque personnalisée</w:t>
      </w:r>
    </w:p>
    <w:p>
      <w:pPr>
        <w:spacing w:after="120"/>
      </w:pPr>
      <w:r>
        <w:rPr>
          <w:color w:val="1E293B"/>
          <w:sz w:val="20"/>
          <w:szCs w:val="20"/>
        </w:rPr>
        <w:t xml:space="preserve">Fonction Premium « rebrand », destinée aux revendeurs souhaitant proposer le produit sous leur propre nom. Dans le panneau d'administration, sous « SSL » → « Marque personnalisée », vous pouvez téléverser votre propre logo (large, pour l'en-tête) et votre propre icône (carrée, pour le favicon et la connexion) (PNG, JPG ou SVG).</w:t>
      </w:r>
    </w:p>
    <w:p>
      <w:pPr>
        <w:spacing w:after="120"/>
      </w:pPr>
      <w:r>
        <w:rPr>
          <w:color w:val="1E293B"/>
          <w:sz w:val="20"/>
          <w:szCs w:val="20"/>
        </w:rPr>
        <w:t xml:space="preserve">Prend effet immédiatement partout : en-tête, écran de connexion, favicon du navigateur, notifications du navigateur, ainsi que dans tous les PDF générés (export de chat, journal d'apprentissage). « Réinitialiser » supprime à nouveau votre propre logo et revient au standard AuraChat — possible à tout moment, même sans licence active.</w:t>
      </w:r>
    </w:p>
    <w:p>
      <w:pPr>
        <w:pStyle w:val="Heading1"/>
        <w:pBdr>
          <w:bottom w:val="single" w:color="2563EB" w:sz="8" w:space="4"/>
        </w:pBdr>
        <w:spacing w:after="160" w:before="380"/>
      </w:pPr>
      <w:r>
        <w:rPr>
          <w:b/>
          <w:bCs/>
          <w:color w:val="0F172A"/>
          <w:sz w:val="26"/>
          <w:szCs w:val="26"/>
        </w:rPr>
        <w:t xml:space="preserve">8. Configurer les intégrations</w:t>
      </w:r>
    </w:p>
    <w:p>
      <w:pPr>
        <w:pStyle w:val="Heading2"/>
        <w:spacing w:after="100" w:before="220"/>
      </w:pPr>
      <w:r>
        <w:rPr>
          <w:b/>
          <w:bCs/>
          <w:color w:val="2563EB"/>
          <w:sz w:val="21"/>
          <w:szCs w:val="21"/>
        </w:rPr>
        <w:t xml:space="preserve">Envoi d'e-mails (SMTP)</w:t>
      </w:r>
    </w:p>
    <w:p>
      <w:pPr>
        <w:spacing w:after="120"/>
      </w:pPr>
      <w:r>
        <w:rPr>
          <w:color w:val="1E293B"/>
          <w:sz w:val="20"/>
          <w:szCs w:val="20"/>
        </w:rPr>
        <w:t xml:space="preserve">Pour les e-mails système (p. ex. nouveaux identifiants), à configurer sous Panneau d'administration → Mail.</w:t>
      </w:r>
    </w:p>
    <w:p>
      <w:pPr>
        <w:pStyle w:val="Heading2"/>
        <w:spacing w:after="100" w:before="220"/>
      </w:pPr>
      <w:r>
        <w:rPr>
          <w:b/>
          <w:bCs/>
          <w:color w:val="2563EB"/>
          <w:sz w:val="21"/>
          <w:szCs w:val="21"/>
        </w:rPr>
        <w:t xml:space="preserve">Intégration e-mail personnelle</w:t>
      </w:r>
    </w:p>
    <w:p>
      <w:pPr>
        <w:spacing w:after="120"/>
      </w:pPr>
      <w:r>
        <w:rPr>
          <w:color w:val="1E293B"/>
          <w:sz w:val="20"/>
          <w:szCs w:val="20"/>
        </w:rPr>
        <w:t xml:space="preserve">Pour Microsoft 365/Exchange : effectuer une fois un enregistrement d'application dans votre propre tenant Microsoft (Azure/Entra ID), puis saisir l'ID client et le secret sous Panneau d'administration → API. L'URI de redirection exacte à cet effet y est directement affichée. Permissions Graph requises (déléguées) : Mail.Read, Mail.ReadWrite, offline_access, ainsi que Calendars.Read pour les rappels de calendrier (section 9). IMAP ne nécessite aucune configuration admin — chaque personne le configure elle-même pour sa propre boîte aux lettres.</w:t>
      </w:r>
    </w:p>
    <w:p>
      <w:pPr>
        <w:pBdr>
          <w:left w:val="single" w:color="2563EB" w:sz="16" w:space="8"/>
        </w:pBdr>
        <w:shd w:fill="EFF6FF" w:val="clear"/>
        <w:spacing w:after="140"/>
      </w:pPr>
      <w:r>
        <w:rPr>
          <w:b/>
          <w:bCs/>
          <w:color w:val="2563EB"/>
          <w:sz w:val="19"/>
          <w:szCs w:val="19"/>
        </w:rPr>
        <w:t xml:space="preserve">💡 Astuce : </w:t>
      </w:r>
      <w:r>
        <w:rPr>
          <w:color w:val="1E3A8A"/>
          <w:sz w:val="19"/>
          <w:szCs w:val="19"/>
        </w:rPr>
        <w:t xml:space="preserve">Lors de la création de l'enregistrement d'application : l'URL de rappel va dans le champ « URI de redirection » (choisir la plateforme « Web »), PAS dans le champ « Nom » — celui-ci n'est qu'un nom d'affichage librement choisi.</w:t>
      </w:r>
    </w:p>
    <w:p>
      <w:pPr>
        <w:pStyle w:val="Heading2"/>
        <w:spacing w:after="100" w:before="220"/>
      </w:pPr>
      <w:r>
        <w:rPr>
          <w:b/>
          <w:bCs/>
          <w:color w:val="2563EB"/>
          <w:sz w:val="21"/>
          <w:szCs w:val="21"/>
        </w:rPr>
        <w:t xml:space="preserve">Domotique &amp; Sonos</w:t>
      </w:r>
    </w:p>
    <w:p>
      <w:pPr>
        <w:spacing w:after="120"/>
      </w:pPr>
      <w:r>
        <w:rPr>
          <w:color w:val="1E293B"/>
          <w:sz w:val="20"/>
          <w:szCs w:val="20"/>
        </w:rPr>
        <w:t xml:space="preserve">Sous Panneau d'administration → API, des intégrations d'appareils (p. ex. IKEA Dirigera, Sonos) ainsi qu'un serveur de génération d'images peuvent être configurés. Les enceintes Sonos peuvent en outre être utilisées pour des annonces : dans le chat, p. ex. « Annonce dans le salon : le repas est prêt » — AuraChat mémorise l'état actuel, diffuse l'annonce parlée, puis reprend la musique au même endroit. Pour cela, une « Adresse serveur locale » doit être renseignée sous Panneau d'administration → API, à laquelle les enceintes peuvent joindre AuraChat sur le réseau (p. ex. http://10.0.55.251:8092 — l'IP/domaine réel, pas « localhost »).</w:t>
      </w:r>
    </w:p>
    <w:p>
      <w:pPr>
        <w:pStyle w:val="Heading2"/>
        <w:spacing w:after="100" w:before="220"/>
      </w:pPr>
      <w:r>
        <w:rPr>
          <w:b/>
          <w:bCs/>
          <w:color w:val="2563EB"/>
          <w:sz w:val="21"/>
          <w:szCs w:val="21"/>
        </w:rPr>
        <w:t xml:space="preserve">Appareils HTTP personnalisés (p. ex. Raspberry Pi)</w:t>
      </w:r>
    </w:p>
    <w:p>
      <w:pPr>
        <w:spacing w:after="120"/>
      </w:pPr>
      <w:r>
        <w:rPr>
          <w:color w:val="1E293B"/>
          <w:sz w:val="20"/>
          <w:szCs w:val="20"/>
        </w:rPr>
        <w:t xml:space="preserve">Via « 🔗 Connecter votre propre application/appareil », tout appareil fait maison disposant de sa propre interface HTTP peut être connecté — p. ex. un Raspberry Pi avec un petit script pour le contrôle de servomoteur ou de relais, un ESP32 avec Tasmota, ou votre propre application. Par appareil : nom, URL de base, éventuellement un en-tête d'authentification, ainsi qu'un nombre illimité de commandes (phrase déclencheuse dans le chat → appel HTTP).</w:t>
      </w:r>
    </w:p>
    <w:p>
      <w:pPr>
        <w:pStyle w:val="ListParagraph"/>
        <w:numPr>
          <w:ilvl w:val="0"/>
          <w:numId w:val="2"/>
        </w:numPr>
        <w:spacing w:after="60"/>
      </w:pPr>
      <w:r>
        <w:rPr>
          <w:color w:val="1E293B"/>
          <w:sz w:val="20"/>
          <w:szCs w:val="20"/>
        </w:rPr>
        <w:t xml:space="preserve">Un « {value} » dans le corps de la commande est automatiquement remplacé par le premier nombre du message — pratique pour les angles/pourcentages/niveaux (p. ex. « mettre le servo à 90 degrés »)</w:t>
      </w:r>
    </w:p>
    <w:p>
      <w:pPr>
        <w:pStyle w:val="ListParagraph"/>
        <w:numPr>
          <w:ilvl w:val="0"/>
          <w:numId w:val="2"/>
        </w:numPr>
        <w:spacing w:after="60"/>
      </w:pPr>
      <w:r>
        <w:rPr>
          <w:color w:val="1E293B"/>
          <w:sz w:val="20"/>
          <w:szCs w:val="20"/>
        </w:rPr>
        <w:t xml:space="preserve">Un modèle de script prêt à l'emploi pour un servomoteur Raspberry Pi est disponible sur demande (servo_server.py, s'exécute directement sur le Pi, pas dans Docker)</w:t>
      </w:r>
    </w:p>
    <w:p>
      <w:pPr>
        <w:pStyle w:val="Heading2"/>
        <w:spacing w:after="100" w:before="220"/>
      </w:pPr>
      <w:r>
        <w:rPr>
          <w:b/>
          <w:bCs/>
          <w:color w:val="2563EB"/>
          <w:sz w:val="21"/>
          <w:szCs w:val="21"/>
        </w:rPr>
        <w:t xml:space="preserve">Entrée/sortie vocale (TTS/STT)</w:t>
      </w:r>
    </w:p>
    <w:p>
      <w:pPr>
        <w:spacing w:after="120"/>
      </w:pPr>
      <w:r>
        <w:rPr>
          <w:color w:val="1E293B"/>
          <w:sz w:val="20"/>
          <w:szCs w:val="20"/>
        </w:rPr>
        <w:t xml:space="preserve">Un serveur personnel peut être configuré sous Panneau d'administration → TTS/STT. Les modèles peuvent aussi y être gérés directement : saisir un identifiant de modèle Hugging Face et le télécharger, supprimer d'un clic les modèles installés (économise de l'espace de stockage). Le dictionnaire de prononciation (substitution de texte avant la sortie vocale) n'est volontairement PAS réservé aux administrateurs — chacun le trouve sous Paramètres → Langue.</w:t>
      </w:r>
    </w:p>
    <w:p>
      <w:pPr>
        <w:pStyle w:val="Heading1"/>
        <w:pBdr>
          <w:bottom w:val="single" w:color="2563EB" w:sz="8" w:space="4"/>
        </w:pBdr>
        <w:spacing w:after="160" w:before="380"/>
      </w:pPr>
      <w:r>
        <w:rPr>
          <w:b/>
          <w:bCs/>
          <w:color w:val="0F172A"/>
          <w:sz w:val="26"/>
          <w:szCs w:val="26"/>
        </w:rPr>
        <w:t xml:space="preserve">9. Rappels de calendrier</w:t>
      </w:r>
    </w:p>
    <w:p>
      <w:pPr>
        <w:spacing w:after="120"/>
      </w:pPr>
      <w:r>
        <w:rPr>
          <w:color w:val="1E293B"/>
          <w:sz w:val="20"/>
          <w:szCs w:val="20"/>
        </w:rPr>
        <w:t xml:space="preserve">Annonce à voix haute, de façon autonome, les rendez-vous à venir du calendrier Microsoft 365 connecté — indépendamment des propres rappels contextuels d'Outlook, auxquels une application web n'a fondamentalement pas accès. Activable par personne sous Paramètres → Langue (« 🗓️ Lire les rappels de calendrier »), avec un délai d'anticipation réglable en minutes. Nécessite une connexion Microsoft 365 active (Menu → E-mails) avec la permission Calendars.Read (voir section 8).</w:t>
      </w:r>
    </w:p>
    <w:p>
      <w:pPr>
        <w:pBdr>
          <w:left w:val="single" w:color="2563EB" w:sz="16" w:space="8"/>
        </w:pBdr>
        <w:shd w:fill="EFF6FF" w:val="clear"/>
        <w:spacing w:after="140"/>
      </w:pPr>
      <w:r>
        <w:rPr>
          <w:b/>
          <w:bCs/>
          <w:color w:val="2563EB"/>
          <w:sz w:val="19"/>
          <w:szCs w:val="19"/>
        </w:rPr>
        <w:t xml:space="preserve">💡 Astuce : </w:t>
      </w:r>
      <w:r>
        <w:rPr>
          <w:color w:val="1E3A8A"/>
          <w:sz w:val="19"/>
          <w:szCs w:val="19"/>
        </w:rPr>
        <w:t xml:space="preserve">Fonctionne uniquement côté client via une vérification toutes les 60 secondes, tant que l'onglet est ouvert — ce n'est pas un service en arrière-plan qui annonce des rendez-vous même navigateur fermé.</w:t>
      </w:r>
    </w:p>
    <w:p>
      <w:pPr>
        <w:pStyle w:val="Heading1"/>
        <w:pBdr>
          <w:bottom w:val="single" w:color="2563EB" w:sz="8" w:space="4"/>
        </w:pBdr>
        <w:spacing w:after="160" w:before="380"/>
      </w:pPr>
      <w:r>
        <w:rPr>
          <w:b/>
          <w:bCs/>
          <w:color w:val="0F172A"/>
          <w:sz w:val="26"/>
          <w:szCs w:val="26"/>
        </w:rPr>
        <w:t xml:space="preserve">10. Mode kiosque</w:t>
      </w:r>
    </w:p>
    <w:p>
      <w:pPr>
        <w:spacing w:after="120"/>
      </w:pPr>
      <w:r>
        <w:rPr>
          <w:color w:val="1E293B"/>
          <w:sz w:val="20"/>
          <w:szCs w:val="20"/>
        </w:rPr>
        <w:t xml:space="preserve">Une vue séparée et extrêmement réduite sur /kiosk.html — uniquement l'avatar en plein écran, microphone et sortie vocale, aucun historique de chat, aucun menu. Pensé p. ex. pour une tablette fixée en permanence ou comme application autonome sur l'écran d'accueil (iOS : Safari → Partager → « Sur l'écran d'accueil » — s'ouvre ensuite en plein écran sans interface de navigateur).</w:t>
      </w:r>
    </w:p>
    <w:p>
      <w:pPr>
        <w:pStyle w:val="Heading2"/>
        <w:spacing w:after="100" w:before="220"/>
      </w:pPr>
      <w:r>
        <w:rPr>
          <w:b/>
          <w:bCs/>
          <w:color w:val="2563EB"/>
          <w:sz w:val="21"/>
          <w:szCs w:val="21"/>
        </w:rPr>
        <w:t xml:space="preserve">Imposer par personne</w:t>
      </w:r>
    </w:p>
    <w:p>
      <w:pPr>
        <w:spacing w:after="120"/>
      </w:pPr>
      <w:r>
        <w:rPr>
          <w:color w:val="1E293B"/>
          <w:sz w:val="20"/>
          <w:szCs w:val="20"/>
        </w:rPr>
        <w:t xml:space="preserve">Panneau d'administration → Utilisateurs → bouton 📱 en regard de la personne concernée : dès la prochaine connexion, cette personne atterrit automatiquement en mode kiosque, quel que soit l'appareil — pratique pour un compte enfant ou une tablette murale qui ne doit jamais afficher l'interface complète.</w:t>
      </w:r>
    </w:p>
    <w:p>
      <w:pPr>
        <w:pBdr>
          <w:left w:val="single" w:color="DC2626" w:sz="16" w:space="8"/>
        </w:pBdr>
        <w:shd w:fill="FEF2F2" w:val="clear"/>
        <w:spacing w:after="140"/>
      </w:pPr>
      <w:r>
        <w:rPr>
          <w:b/>
          <w:bCs/>
          <w:color w:val="B91C1C"/>
          <w:sz w:val="19"/>
          <w:szCs w:val="19"/>
        </w:rPr>
        <w:t xml:space="preserve">⚠ Attention : </w:t>
      </w:r>
      <w:r>
        <w:rPr>
          <w:color w:val="7F1D1D"/>
          <w:sz w:val="19"/>
          <w:szCs w:val="19"/>
        </w:rPr>
        <w:t xml:space="preserve">Échappatoire pour les administrateurs : dans la vue kiosque, en haut à droite, le discret « ✕ » — ramène une fois à l'interface complète, sans redirection immédiate à nouveau.</w:t>
      </w:r>
    </w:p>
    <w:p>
      <w:pPr>
        <w:pBdr>
          <w:left w:val="single" w:color="2563EB" w:sz="16" w:space="8"/>
        </w:pBdr>
        <w:shd w:fill="EFF6FF" w:val="clear"/>
        <w:spacing w:after="140"/>
      </w:pPr>
      <w:r>
        <w:rPr>
          <w:b/>
          <w:bCs/>
          <w:color w:val="2563EB"/>
          <w:sz w:val="19"/>
          <w:szCs w:val="19"/>
        </w:rPr>
        <w:t xml:space="preserve">💡 Astuce : </w:t>
      </w:r>
      <w:r>
        <w:rPr>
          <w:color w:val="1E3A8A"/>
          <w:sz w:val="19"/>
          <w:szCs w:val="19"/>
        </w:rPr>
        <w:t xml:space="preserve">Nécessite la fonction Premium TTS/STT — sans serveur vocal propre configuré, seule la sortie vocale fonctionne (repli navigateur), pas la reconnaissance vocale.</w:t>
      </w:r>
    </w:p>
    <w:p>
      <w:pPr>
        <w:pStyle w:val="Heading1"/>
        <w:pBdr>
          <w:bottom w:val="single" w:color="2563EB" w:sz="8" w:space="4"/>
        </w:pBdr>
        <w:spacing w:after="160" w:before="380"/>
      </w:pPr>
      <w:r>
        <w:rPr>
          <w:b/>
          <w:bCs/>
          <w:color w:val="0F172A"/>
          <w:sz w:val="26"/>
          <w:szCs w:val="26"/>
        </w:rPr>
        <w:t xml:space="preserve">11. Aura Academy</w:t>
      </w:r>
    </w:p>
    <w:p>
      <w:pPr>
        <w:spacing w:after="120"/>
      </w:pPr>
      <w:r>
        <w:rPr>
          <w:color w:val="1E293B"/>
          <w:sz w:val="20"/>
          <w:szCs w:val="20"/>
        </w:rPr>
        <w:t xml:space="preserve">Réentraîne automatiquement chaque nuit à 1h00 un petit modèle de langage ouvert (0,5 milliard de paramètres) avec les faits de mémoire accumulés de tous les utilisateurs. Activable sous Panneau d'administration → Aura Academy.</w:t>
      </w:r>
    </w:p>
    <w:p>
      <w:pPr>
        <w:pStyle w:val="ListParagraph"/>
        <w:numPr>
          <w:ilvl w:val="0"/>
          <w:numId w:val="2"/>
        </w:numPr>
        <w:spacing w:after="60"/>
      </w:pPr>
      <w:r>
        <w:rPr>
          <w:color w:val="1E293B"/>
          <w:sz w:val="20"/>
          <w:szCs w:val="20"/>
        </w:rPr>
        <w:t xml:space="preserve">S'exécute directement dans le conteneur backend, aucun déploiement séparé nécessaire</w:t>
      </w:r>
    </w:p>
    <w:p>
      <w:pPr>
        <w:pStyle w:val="ListParagraph"/>
        <w:numPr>
          <w:ilvl w:val="0"/>
          <w:numId w:val="2"/>
        </w:numPr>
        <w:spacing w:after="60"/>
      </w:pPr>
      <w:r>
        <w:rPr>
          <w:color w:val="1E293B"/>
          <w:sz w:val="20"/>
          <w:szCs w:val="20"/>
        </w:rPr>
        <w:t xml:space="preserve">Le résultat est enregistré sous forme de Aura-AI-05b.gguf dans le dossier models/</w:t>
      </w:r>
    </w:p>
    <w:p>
      <w:pPr>
        <w:pStyle w:val="ListParagraph"/>
        <w:numPr>
          <w:ilvl w:val="0"/>
          <w:numId w:val="2"/>
        </w:numPr>
        <w:spacing w:after="60"/>
      </w:pPr>
      <w:r>
        <w:rPr>
          <w:color w:val="1E293B"/>
          <w:sz w:val="20"/>
          <w:szCs w:val="20"/>
        </w:rPr>
        <w:t xml:space="preserve">« Entraîner maintenant » déclenche un test immédiat au lieu d'attendre 1h00</w:t>
      </w:r>
    </w:p>
    <w:p>
      <w:pPr>
        <w:pBdr>
          <w:left w:val="single" w:color="DC2626" w:sz="16" w:space="8"/>
        </w:pBdr>
        <w:shd w:fill="FEF2F2" w:val="clear"/>
        <w:spacing w:after="140"/>
      </w:pPr>
      <w:r>
        <w:rPr>
          <w:b/>
          <w:bCs/>
          <w:color w:val="B91C1C"/>
          <w:sz w:val="19"/>
          <w:szCs w:val="19"/>
        </w:rPr>
        <w:t xml:space="preserve">⚠ Attention : </w:t>
      </w:r>
      <w:r>
        <w:rPr>
          <w:color w:val="7F1D1D"/>
          <w:sz w:val="19"/>
          <w:szCs w:val="19"/>
        </w:rPr>
        <w:t xml:space="preserve">Réalistement plusieurs heures par cycle sur CPU seul. Le modèle résultant n'est pas automatiquement utilisé dans le chat — c'est un projet annexe qui peut être chargé manuellement dans votre propre serveur IA (p. ex. Ollama) si besoin.</w:t>
      </w:r>
    </w:p>
    <w:p>
      <w:pPr>
        <w:pStyle w:val="Heading1"/>
        <w:pBdr>
          <w:bottom w:val="single" w:color="2563EB" w:sz="8" w:space="4"/>
        </w:pBdr>
        <w:spacing w:after="160" w:before="380"/>
      </w:pPr>
      <w:r>
        <w:rPr>
          <w:b/>
          <w:bCs/>
          <w:color w:val="0F172A"/>
          <w:sz w:val="26"/>
          <w:szCs w:val="26"/>
        </w:rPr>
        <w:t xml:space="preserve">12. Sauvegarde, mise à jour &amp; maintenance</w:t>
      </w:r>
    </w:p>
    <w:p>
      <w:pPr>
        <w:pStyle w:val="Heading2"/>
        <w:spacing w:after="100" w:before="220"/>
      </w:pPr>
      <w:r>
        <w:rPr>
          <w:b/>
          <w:bCs/>
          <w:color w:val="2563EB"/>
          <w:sz w:val="21"/>
          <w:szCs w:val="21"/>
        </w:rPr>
        <w:t xml:space="preserve">Sauvegarde</w:t>
      </w:r>
    </w:p>
    <w:p>
      <w:pPr>
        <w:spacing w:after="120"/>
      </w:pPr>
      <w:r>
        <w:rPr>
          <w:color w:val="1E293B"/>
          <w:sz w:val="20"/>
          <w:szCs w:val="20"/>
        </w:rPr>
        <w:t xml:space="preserve">Panneau d'administration → « Sauvegarde &amp; Mise à jour » → « Télécharger la sauvegarde » génère un fichier .zip avec la base de données complète (utilisateurs, chats, paramètres, mémoire) ainsi que vos propres certificats SSL. La base de données est sauvegardée via la fonction « VACUUM INTO » de SQLite — utilisable en toute sécurité pendant que l'application continue de fonctionner, pas une copie de fichier brute. Non inclus : le dossier models/ (résultats Aura Academy) — à sauvegarder séparément en copiant le dossier si nécessaire.</w:t>
      </w:r>
    </w:p>
    <w:p>
      <w:pPr>
        <w:pStyle w:val="Heading2"/>
        <w:spacing w:after="100" w:before="220"/>
      </w:pPr>
      <w:r>
        <w:rPr>
          <w:b/>
          <w:bCs/>
          <w:color w:val="2563EB"/>
          <w:sz w:val="21"/>
          <w:szCs w:val="21"/>
        </w:rPr>
        <w:t xml:space="preserve">Restauration</w:t>
      </w:r>
    </w:p>
    <w:p>
      <w:pPr>
        <w:spacing w:after="120"/>
      </w:pPr>
      <w:r>
        <w:rPr>
          <w:color w:val="1E293B"/>
          <w:sz w:val="20"/>
          <w:szCs w:val="20"/>
        </w:rPr>
        <w:t xml:space="preserve">Un fichier de sauvegarde généré précédemment peut être téléversé à nouveau dans le même onglet. Remplace l'intégralité de la base de données actuelle ; le serveur redémarre ensuite automatiquement (Docker le relance grâce à « restart: unless-stopped »).</w:t>
      </w:r>
    </w:p>
    <w:p>
      <w:pPr>
        <w:pBdr>
          <w:left w:val="single" w:color="DC2626" w:sz="16" w:space="8"/>
        </w:pBdr>
        <w:shd w:fill="FEF2F2" w:val="clear"/>
        <w:spacing w:after="140"/>
      </w:pPr>
      <w:r>
        <w:rPr>
          <w:b/>
          <w:bCs/>
          <w:color w:val="B91C1C"/>
          <w:sz w:val="19"/>
          <w:szCs w:val="19"/>
        </w:rPr>
        <w:t xml:space="preserve">⚠ Attention : </w:t>
      </w:r>
      <w:r>
        <w:rPr>
          <w:color w:val="7F1D1D"/>
          <w:sz w:val="19"/>
          <w:szCs w:val="19"/>
        </w:rPr>
        <w:t xml:space="preserve">Irréversible. En cas de doute, créez vous-même au préalable une sauvegarde fraîche de l'état actuel.</w:t>
      </w:r>
    </w:p>
    <w:p>
      <w:pPr>
        <w:pStyle w:val="Heading2"/>
        <w:spacing w:after="100" w:before="220"/>
      </w:pPr>
      <w:r>
        <w:rPr>
          <w:b/>
          <w:bCs/>
          <w:color w:val="2563EB"/>
          <w:sz w:val="21"/>
          <w:szCs w:val="21"/>
        </w:rPr>
        <w:t xml:space="preserve">Mise à jour autonome</w:t>
      </w:r>
    </w:p>
    <w:p>
      <w:pPr>
        <w:spacing w:after="120"/>
      </w:pPr>
      <w:r>
        <w:rPr>
          <w:color w:val="1E293B"/>
          <w:sz w:val="20"/>
          <w:szCs w:val="20"/>
        </w:rPr>
        <w:t xml:space="preserve">Le même onglet accepte aussi les paquets de mise à jour (même format .zip que pour l'extraction manuelle : server.js, html/index.html, html/js/app.js, html/css/style.css). Avant application, chaque fichier .js est vérifié pour des erreurs de syntaxe, et une sauvegarde automatique des fichiers actuellement en cours d'exécution est créée. Si server.js change, le serveur redémarre brièvement ensuite.</w:t>
      </w:r>
    </w:p>
    <w:p>
      <w:pPr>
        <w:pBdr>
          <w:left w:val="single" w:color="DC2626" w:sz="16" w:space="8"/>
        </w:pBdr>
        <w:shd w:fill="FEF2F2" w:val="clear"/>
        <w:spacing w:after="140"/>
      </w:pPr>
      <w:r>
        <w:rPr>
          <w:b/>
          <w:bCs/>
          <w:color w:val="B91C1C"/>
          <w:sz w:val="19"/>
          <w:szCs w:val="19"/>
        </w:rPr>
        <w:t xml:space="preserve">⚠ Attention : </w:t>
      </w:r>
      <w:r>
        <w:rPr>
          <w:color w:val="7F1D1D"/>
          <w:sz w:val="19"/>
          <w:szCs w:val="19"/>
        </w:rPr>
        <w:t xml:space="preserve">Les mises à jour nécessitant de nouvelles dépendances npm (p. ex. une future mise à jour nécessitant un nouveau paquet) sont détectées mais PAS appliquées automatiquement — package.json est alors ignoré et un avis apparaît invitant à appliquer la mise à jour manuellement de façon classique à la place (voir ci-dessous).</w:t>
      </w:r>
    </w:p>
    <w:p>
      <w:pPr>
        <w:pStyle w:val="Heading2"/>
        <w:spacing w:after="100" w:before="220"/>
      </w:pPr>
      <w:r>
        <w:rPr>
          <w:b/>
          <w:bCs/>
          <w:color w:val="2563EB"/>
          <w:sz w:val="21"/>
          <w:szCs w:val="21"/>
        </w:rPr>
        <w:t xml:space="preserve">Application manuelle d'une mise à jour</w:t>
      </w:r>
    </w:p>
    <w:p>
      <w:pPr>
        <w:shd w:fill="0F172A" w:val="clear"/>
        <w:spacing w:after="140"/>
      </w:pPr>
      <w:r>
        <w:rPr>
          <w:rFonts w:ascii="Courier New" w:cs="Courier New" w:eastAsia="Courier New" w:hAnsi="Courier New"/>
          <w:color w:val="E2E8F0"/>
          <w:sz w:val="17"/>
          <w:szCs w:val="17"/>
        </w:rPr>
        <w:t xml:space="preserve">sudo docker compose down</w:t>
      </w:r>
      <w:r>
        <w:br/>
        <w:t xml:space="preserve"/>
      </w:r>
      <w:r>
        <w:rPr>
          <w:rFonts w:ascii="Courier New" w:cs="Courier New" w:eastAsia="Courier New" w:hAnsi="Courier New"/>
          <w:color w:val="E2E8F0"/>
          <w:sz w:val="17"/>
          <w:szCs w:val="17"/>
        </w:rPr>
        <w:t xml:space="preserve">sudo docker compose up -d --build   # à réexécuter après chaque mise à jour extraite manuellement</w:t>
      </w:r>
    </w:p>
    <w:p>
      <w:pPr>
        <w:pBdr>
          <w:left w:val="single" w:color="2563EB" w:sz="16" w:space="8"/>
        </w:pBdr>
        <w:shd w:fill="EFF6FF" w:val="clear"/>
        <w:spacing w:after="140"/>
      </w:pPr>
      <w:r>
        <w:rPr>
          <w:b/>
          <w:bCs/>
          <w:color w:val="2563EB"/>
          <w:sz w:val="19"/>
          <w:szCs w:val="19"/>
        </w:rPr>
        <w:t xml:space="preserve">💡 Astuce : </w:t>
      </w:r>
      <w:r>
        <w:rPr>
          <w:color w:val="1E3A8A"/>
          <w:sz w:val="19"/>
          <w:szCs w:val="19"/>
        </w:rPr>
        <w:t xml:space="preserve">Toujours « down » en premier, puis « up -d --build » — un simple « up » sans « down » préalable peut faire que d'anciens conteneurs (avec d'anciens paramètres comme les mappages de ports) continuent de fonctionner.</w:t>
      </w:r>
    </w:p>
    <w:p>
      <w:pPr>
        <w:pStyle w:val="Heading1"/>
        <w:pBdr>
          <w:bottom w:val="single" w:color="2563EB" w:sz="8" w:space="4"/>
        </w:pBdr>
        <w:spacing w:after="160" w:before="380"/>
      </w:pPr>
      <w:r>
        <w:rPr>
          <w:b/>
          <w:bCs/>
          <w:color w:val="0F172A"/>
          <w:sz w:val="26"/>
          <w:szCs w:val="26"/>
        </w:rPr>
        <w:t xml:space="preserve">13. Serveur de licences : gestion clients, revendeurs &amp; connexion</w:t>
      </w:r>
    </w:p>
    <w:p>
      <w:pPr>
        <w:spacing w:after="120"/>
      </w:pPr>
      <w:r>
        <w:rPr>
          <w:color w:val="1E293B"/>
          <w:sz w:val="20"/>
          <w:szCs w:val="20"/>
        </w:rPr>
        <w:t xml:space="preserve">Le projet séparé AuraChat-License apporte, en plus de la génération de licences, une vue d'ensemble des clients.</w:t>
      </w:r>
    </w:p>
    <w:p>
      <w:pPr>
        <w:pStyle w:val="Heading2"/>
        <w:spacing w:after="100" w:before="220"/>
      </w:pPr>
      <w:r>
        <w:rPr>
          <w:b/>
          <w:bCs/>
          <w:color w:val="2563EB"/>
          <w:sz w:val="21"/>
          <w:szCs w:val="21"/>
        </w:rPr>
        <w:t xml:space="preserve">Clients &amp; coûts</w:t>
      </w:r>
    </w:p>
    <w:p>
      <w:pPr>
        <w:spacing w:after="120"/>
      </w:pPr>
      <w:r>
        <w:rPr>
          <w:color w:val="1E293B"/>
          <w:sz w:val="20"/>
          <w:szCs w:val="20"/>
        </w:rPr>
        <w:t xml:space="preserve">Lors de la génération d'une licence, il est possible d'enregistrer en plus l'adresse, la personne responsable, l'e-mail de contact, ainsi que les prix par utilisateur/administrateur et le type d'hébergement (auto-hébergé/cloud). Sous « 👥 Clients », la licence la plus récente de chaque client apparaît avec un coût mensuel estimé calculé à partir de celle-ci, plus une vue d'ensemble globale (nombre de clients, installations actives, revenus totaux estimés).</w:t>
      </w:r>
    </w:p>
    <w:p>
      <w:pPr>
        <w:pBdr>
          <w:left w:val="single" w:color="2563EB" w:sz="16" w:space="8"/>
        </w:pBdr>
        <w:shd w:fill="EFF6FF" w:val="clear"/>
        <w:spacing w:after="140"/>
      </w:pPr>
      <w:r>
        <w:rPr>
          <w:b/>
          <w:bCs/>
          <w:color w:val="2563EB"/>
          <w:sz w:val="19"/>
          <w:szCs w:val="19"/>
        </w:rPr>
        <w:t xml:space="preserve">💡 Astuce : </w:t>
      </w:r>
      <w:r>
        <w:rPr>
          <w:color w:val="1E3A8A"/>
          <w:sz w:val="19"/>
          <w:szCs w:val="19"/>
        </w:rPr>
        <w:t xml:space="preserve">Les prix/adresses relèvent de la pure comptabilité sur le serveur de licences — ils ne sont PAS intégrés dans la clé de licence signée elle-même que reçoit chaque installation AuraChat.</w:t>
      </w:r>
    </w:p>
    <w:p>
      <w:pPr>
        <w:pStyle w:val="Heading2"/>
        <w:spacing w:after="100" w:before="220"/>
      </w:pPr>
      <w:r>
        <w:rPr>
          <w:b/>
          <w:bCs/>
          <w:color w:val="2563EB"/>
          <w:sz w:val="21"/>
          <w:szCs w:val="21"/>
        </w:rPr>
        <w:t xml:space="preserve">Statut de connexion</w:t>
      </w:r>
    </w:p>
    <w:p>
      <w:pPr>
        <w:spacing w:after="120"/>
      </w:pPr>
      <w:r>
        <w:rPr>
          <w:color w:val="1E293B"/>
          <w:sz w:val="20"/>
          <w:szCs w:val="20"/>
        </w:rPr>
        <w:t xml:space="preserve">Si une installation AuraChat active la connexion (voir section 6), elle apparaît dans la vue d'ensemble des clients avec 🟢 (vue au cours des dernières 48h) ou ⚪ (non vue depuis plus longtemps / jamais), avec l'horodatage et le nombre d'utilisateurs signalé.</w:t>
      </w:r>
    </w:p>
    <w:p>
      <w:pPr>
        <w:pStyle w:val="Heading2"/>
        <w:spacing w:after="100" w:before="220"/>
      </w:pPr>
      <w:r>
        <w:rPr>
          <w:b/>
          <w:bCs/>
          <w:color w:val="2563EB"/>
          <w:sz w:val="21"/>
          <w:szCs w:val="21"/>
        </w:rPr>
        <w:t xml:space="preserve">Portail revendeurs</w:t>
      </w:r>
    </w:p>
    <w:p>
      <w:pPr>
        <w:spacing w:after="120"/>
      </w:pPr>
      <w:r>
        <w:rPr>
          <w:color w:val="1E293B"/>
          <w:sz w:val="20"/>
          <w:szCs w:val="20"/>
        </w:rPr>
        <w:t xml:space="preserve">Un système de connexion autonome pour les revendeurs, séparé de votre propre accès superadmin (identifiant « admin »). Sous « 🤝 Revendeurs » (visible uniquement pour le superadmin), des comptes revendeurs peuvent être créés : nom, nom d'utilisateur/mot de passe propres, taux de remise individuel en %, e-mail de contact. Après sa propre connexion, un revendeur voit exclusivement ses propres clients finaux/licences — jamais ceux d'autres revendeurs ni vos propres clients directs.</w:t>
      </w:r>
    </w:p>
    <w:p>
      <w:pPr>
        <w:pStyle w:val="ListParagraph"/>
        <w:numPr>
          <w:ilvl w:val="0"/>
          <w:numId w:val="2"/>
        </w:numPr>
        <w:spacing w:after="60"/>
      </w:pPr>
      <w:r>
        <w:rPr>
          <w:color w:val="1E293B"/>
          <w:sz w:val="20"/>
          <w:szCs w:val="20"/>
        </w:rPr>
        <w:t xml:space="preserve">Lors de la génération d'une licence, un revendeur voit sa remise affichée comme prix de référence — le prix client final réel (les champs de prix du formulaire) reste librement modifiable</w:t>
      </w:r>
    </w:p>
    <w:p>
      <w:pPr>
        <w:pStyle w:val="ListParagraph"/>
        <w:numPr>
          <w:ilvl w:val="0"/>
          <w:numId w:val="2"/>
        </w:numPr>
        <w:spacing w:after="60"/>
      </w:pPr>
      <w:r>
        <w:rPr>
          <w:color w:val="1E293B"/>
          <w:sz w:val="20"/>
          <w:szCs w:val="20"/>
        </w:rPr>
        <w:t xml:space="preserve">Réinitialisation du mot de passe et désactivation d'un compte revendeur : également sous « 🤝 Revendeurs », superadmin uniquement</w:t>
      </w:r>
    </w:p>
    <w:p>
      <w:pPr>
        <w:pStyle w:val="ListParagraph"/>
        <w:numPr>
          <w:ilvl w:val="0"/>
          <w:numId w:val="2"/>
        </w:numPr>
        <w:spacing w:after="60"/>
      </w:pPr>
      <w:r>
        <w:rPr>
          <w:color w:val="1E293B"/>
          <w:sz w:val="20"/>
          <w:szCs w:val="20"/>
        </w:rPr>
        <w:t xml:space="preserve">Grille de remise équitable comme point de départ : 20 % sans minimum, 30 % à partir de 10 licences clients finaux actives, 40 % à partir de 25</w:t>
      </w:r>
    </w:p>
    <w:p>
      <w:pPr>
        <w:pBdr>
          <w:left w:val="single" w:color="DC2626" w:sz="16" w:space="8"/>
        </w:pBdr>
        <w:shd w:fill="FEF2F2" w:val="clear"/>
        <w:spacing w:after="140"/>
      </w:pPr>
      <w:r>
        <w:rPr>
          <w:b/>
          <w:bCs/>
          <w:color w:val="B91C1C"/>
          <w:sz w:val="19"/>
          <w:szCs w:val="19"/>
        </w:rPr>
        <w:t xml:space="preserve">⚠ Attention : </w:t>
      </w:r>
      <w:r>
        <w:rPr>
          <w:color w:val="7F1D1D"/>
          <w:sz w:val="19"/>
          <w:szCs w:val="19"/>
        </w:rPr>
        <w:t xml:space="preserve">La sauvegarde/restauration et la gestion des revendeurs elle-même restent exclusivement réservées au superadmin — un revendeur ne peut ni voir les autres revendeurs, ni sauvegarder/restaurer la base de données globale.</w:t>
      </w:r>
    </w:p>
    <w:p>
      <w:pPr>
        <w:pStyle w:val="Heading2"/>
        <w:spacing w:after="100" w:before="220"/>
      </w:pPr>
      <w:r>
        <w:rPr>
          <w:b/>
          <w:bCs/>
          <w:color w:val="2563EB"/>
          <w:sz w:val="21"/>
          <w:szCs w:val="21"/>
        </w:rPr>
        <w:t xml:space="preserve">Modifier des clients</w:t>
      </w:r>
    </w:p>
    <w:p>
      <w:pPr>
        <w:spacing w:after="120"/>
      </w:pPr>
      <w:r>
        <w:rPr>
          <w:color w:val="1E293B"/>
          <w:sz w:val="20"/>
          <w:szCs w:val="20"/>
        </w:rPr>
        <w:t xml:space="preserve">Sous « 👥 Clients », chaque entrée dispose de « ✏️ Modifier » — modifie ultérieurement adresse/contact/prix, sans régénérer la clé de licence signée elle-même. Pour d'autres fonctions/limites, continuer à émettre une nouvelle licence.</w:t>
      </w:r>
    </w:p>
    <w:p>
      <w:pPr>
        <w:pStyle w:val="Heading2"/>
        <w:spacing w:after="100" w:before="220"/>
      </w:pPr>
      <w:r>
        <w:rPr>
          <w:b/>
          <w:bCs/>
          <w:color w:val="2563EB"/>
          <w:sz w:val="21"/>
          <w:szCs w:val="21"/>
        </w:rPr>
        <w:t xml:space="preserve">Sauvegarde</w:t>
      </w:r>
    </w:p>
    <w:p>
      <w:pPr>
        <w:spacing w:after="120"/>
      </w:pPr>
      <w:r>
        <w:rPr>
          <w:color w:val="1E293B"/>
          <w:sz w:val="20"/>
          <w:szCs w:val="20"/>
        </w:rPr>
        <w:t xml:space="preserve">De façon analogue à AuraChat lui-même : en bas de la page principale du serveur de licences, une sauvegarde de toutes les licences émises ET des comptes revendeurs peut être téléchargée et restaurée si besoin.</w:t>
      </w:r>
    </w:p>
    <w:p>
      <w:pPr>
        <w:pStyle w:val="Heading1"/>
        <w:pBdr>
          <w:bottom w:val="single" w:color="2563EB" w:sz="8" w:space="4"/>
        </w:pBdr>
        <w:spacing w:after="160" w:before="380"/>
      </w:pPr>
      <w:r>
        <w:rPr>
          <w:b/>
          <w:bCs/>
          <w:color w:val="0F172A"/>
          <w:sz w:val="26"/>
          <w:szCs w:val="26"/>
        </w:rPr>
        <w:t xml:space="preserve">14. Écueils connus</w:t>
      </w:r>
    </w:p>
    <w:p>
      <w:pPr>
        <w:pStyle w:val="Heading2"/>
        <w:spacing w:after="100" w:before="220"/>
      </w:pPr>
      <w:r>
        <w:rPr>
          <w:b/>
          <w:bCs/>
          <w:color w:val="2563EB"/>
          <w:sz w:val="21"/>
          <w:szCs w:val="21"/>
        </w:rPr>
        <w:t xml:space="preserve">Les modifications n'apparaissent pas dans le navigateur</w:t>
      </w:r>
    </w:p>
    <w:p>
      <w:pPr>
        <w:spacing w:after="120"/>
      </w:pPr>
      <w:r>
        <w:rPr>
          <w:color w:val="1E293B"/>
          <w:sz w:val="20"/>
          <w:szCs w:val="20"/>
        </w:rPr>
        <w:t xml:space="preserve">Vérifier d'abord si la version la plus récente tourne vraiment : utiliser docker exec &lt;conteneur&gt; pour accéder directement au fichier concerné et le comparer à la version livrée (p. ex. via grep -c sur un texte caractéristique). Cause la plus fréquente : Docker Compose associe les conteneurs au dossier depuis lequel ils ont été démarrés — un docker compose down depuis un autre dossier (p. ex. un sous-dossier) peut ne pas atteindre les conteneurs existants.</w:t>
      </w:r>
    </w:p>
    <w:p>
      <w:pPr>
        <w:pStyle w:val="Heading2"/>
        <w:spacing w:after="100" w:before="220"/>
      </w:pPr>
      <w:r>
        <w:rPr>
          <w:b/>
          <w:bCs/>
          <w:color w:val="2563EB"/>
          <w:sz w:val="21"/>
          <w:szCs w:val="21"/>
        </w:rPr>
        <w:t xml:space="preserve">L'extraction d'une mise à jour n'écrase pas vraiment les fichiers</w:t>
      </w:r>
    </w:p>
    <w:p>
      <w:pPr>
        <w:spacing w:after="120"/>
      </w:pPr>
      <w:r>
        <w:rPr>
          <w:color w:val="1E293B"/>
          <w:sz w:val="20"/>
          <w:szCs w:val="20"/>
        </w:rPr>
        <w:t xml:space="preserve">unzip sans -o demande individuellement pour chaque fichier existant, ou l'ignore silencieusement. Toujours utiliser unzip -o. À titre de contrôle avant extraction, comparer la somme de contrôle du fichier téléchargé (md5sum) avec celle fournie — cela permet d'exclure l'utilisation accidentelle d'un ancien fichier portant le même nom.</w:t>
      </w:r>
    </w:p>
    <w:p>
      <w:pPr>
        <w:pStyle w:val="Heading2"/>
        <w:spacing w:after="100" w:before="220"/>
      </w:pPr>
      <w:r>
        <w:rPr>
          <w:b/>
          <w:bCs/>
          <w:color w:val="2563EB"/>
          <w:sz w:val="21"/>
          <w:szCs w:val="21"/>
        </w:rPr>
        <w:t xml:space="preserve">Nom du service Docker vs. nom du conteneur</w:t>
      </w:r>
    </w:p>
    <w:p>
      <w:pPr>
        <w:spacing w:after="120"/>
      </w:pPr>
      <w:r>
        <w:rPr>
          <w:color w:val="1E293B"/>
          <w:sz w:val="20"/>
          <w:szCs w:val="20"/>
        </w:rPr>
        <w:t xml:space="preserve">sudo docker compose restart &lt;nom&gt; nécessite le nom de SERVICE issu de docker-compose.yml (p. ex. « backend »), pas le container_name (p. ex. « aurachat-backend ») — les deux sont volontairement nommés différemment. sudo docker ps affiche les noms de conteneurs réels.</w:t>
      </w:r>
    </w:p>
    <w:p>
      <w:pPr>
        <w:pStyle w:val="Heading2"/>
        <w:spacing w:after="100" w:before="220"/>
      </w:pPr>
      <w:r>
        <w:rPr>
          <w:b/>
          <w:bCs/>
          <w:color w:val="2563EB"/>
          <w:sz w:val="21"/>
          <w:szCs w:val="21"/>
        </w:rPr>
        <w:t xml:space="preserve">Conteneurs orphelins</w:t>
      </w:r>
    </w:p>
    <w:p>
      <w:pPr>
        <w:spacing w:after="120"/>
      </w:pPr>
      <w:r>
        <w:rPr>
          <w:color w:val="1E293B"/>
          <w:sz w:val="20"/>
          <w:szCs w:val="20"/>
        </w:rPr>
        <w:t xml:space="preserve">sudo docker ps -a affiche vraiment tous les conteneurs sur l'hôte, indépendamment du dossier de démarrage. Les conteneurs qui ne sont plus nécessaires peuvent être supprimés directement par leur nom : sudo docker stop &lt;nom&gt; &amp;&amp; sudo docker rm &lt;nom&gt;.</w:t>
      </w:r>
    </w:p>
    <w:p>
      <w:pPr>
        <w:pStyle w:val="Heading2"/>
        <w:spacing w:after="100" w:before="220"/>
      </w:pPr>
      <w:r>
        <w:rPr>
          <w:b/>
          <w:bCs/>
          <w:color w:val="2563EB"/>
          <w:sz w:val="21"/>
          <w:szCs w:val="21"/>
        </w:rPr>
        <w:t xml:space="preserve">Problèmes de droits sur des VM avec remappage d'espace de noms utilisateur</w:t>
      </w:r>
    </w:p>
    <w:p>
      <w:pPr>
        <w:spacing w:after="120"/>
      </w:pPr>
      <w:r>
        <w:rPr>
          <w:color w:val="1E293B"/>
          <w:sz w:val="20"/>
          <w:szCs w:val="20"/>
        </w:rPr>
        <w:t xml:space="preserve">Sur certains environnements virtualisés (p. ex. conteneurs LXD/Incus avec mappage d'espace de noms utilisateur activé), « root » dans le conteneur Docker s'exécute en réalité sous un UID différent, non privilégié, sur l'hôte réel. Cela se manifeste p. ex. par « SQLITE_READONLY: attempt to write a readonly database », alors que le dossier data/ semble avoir des droits corrects. Solution : sudo chmod -R 777 data/ models/ (généreux, mais fiable), puis redémarrer le conteneur concerné.</w:t>
      </w:r>
    </w:p>
    <w:p>
      <w:pPr>
        <w:pStyle w:val="Heading2"/>
        <w:spacing w:after="100" w:before="220"/>
      </w:pPr>
      <w:r>
        <w:rPr>
          <w:b/>
          <w:bCs/>
          <w:color w:val="2563EB"/>
          <w:sz w:val="21"/>
          <w:szCs w:val="21"/>
        </w:rPr>
        <w:t xml:space="preserve">Domaine/HTTPS : « server is listening only on the HTTP port »</w:t>
      </w:r>
    </w:p>
    <w:p>
      <w:pPr>
        <w:spacing w:after="120"/>
      </w:pPr>
      <w:r>
        <w:rPr>
          <w:color w:val="1E293B"/>
          <w:sz w:val="20"/>
          <w:szCs w:val="20"/>
        </w:rPr>
        <w:t xml:space="preserve">Ce message dans sudo docker logs aurachat-caddy signifie que Caddy utilise encore la configuration de repli HTTP uniquement intégrée, pas celle spécifique au domaine avec HTTPS automatique. Solution généralement efficace : ressaisir le domaine dans le panneau d'administration et cliquer à nouveau sur « Enregistrer » (déclenche une nouvelle transmission à Caddy), puis vérifier immédiatement après sudo docker logs aurachat-backend.</w:t>
      </w:r>
    </w:p>
    <w:p>
      <w:pPr>
        <w:pStyle w:val="Heading2"/>
        <w:spacing w:after="100" w:before="220"/>
      </w:pPr>
      <w:r>
        <w:rPr>
          <w:b/>
          <w:bCs/>
          <w:color w:val="2563EB"/>
          <w:sz w:val="21"/>
          <w:szCs w:val="21"/>
        </w:rPr>
        <w:t xml:space="preserve">Mise en cache réseau</w:t>
      </w:r>
    </w:p>
    <w:p>
      <w:pPr>
        <w:spacing w:after="120"/>
      </w:pPr>
      <w:r>
        <w:rPr>
          <w:color w:val="1E293B"/>
          <w:sz w:val="20"/>
          <w:szCs w:val="20"/>
        </w:rPr>
        <w:t xml:space="preserve">Les pare-feux avec fonction de mise en cache web/proxy (p. ex. « Web content caching » de Sophos) peuvent donner l'impression d'états « anciens » pendant le développement actif, alors même que le serveur a été correctement mis à jour. En cas de doute : tester directement sur le serveur lui-même via curl localhost si le serveur délivre vraiment l'état actuel.</w:t>
      </w:r>
    </w:p>
    <w:p>
      <w:pPr>
        <w:pStyle w:val="Heading2"/>
        <w:spacing w:after="100" w:before="220"/>
      </w:pPr>
      <w:r>
        <w:rPr>
          <w:b/>
          <w:bCs/>
          <w:color w:val="2563EB"/>
          <w:sz w:val="21"/>
          <w:szCs w:val="21"/>
        </w:rPr>
        <w:t xml:space="preserve">Aura Academy et Alpine Linux</w:t>
      </w:r>
    </w:p>
    <w:p>
      <w:pPr>
        <w:spacing w:after="120"/>
      </w:pPr>
      <w:r>
        <w:rPr>
          <w:color w:val="1E293B"/>
          <w:sz w:val="20"/>
          <w:szCs w:val="20"/>
        </w:rPr>
        <w:t xml:space="preserve">Le conteneur backend s'exécute volontairement sur une image Node basée sur Debian (pas Alpine) — PyTorch ne propose pas de paquets prêts à l'emploi pour la bibliothèque musl utilisée dans Alpine.</w:t>
      </w:r>
    </w:p>
    <w:sectPr>
      <w:headerReference w:type="default" r:id="rId7"/>
      <w:footerReference w:type="default" r:id="rId8"/>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5"/>
        <w:szCs w:val="15"/>
      </w:rPr>
      <w:t xml:space="preserve">AuraChat  ·  Page </w:t>
    </w:r>
    <w:r>
      <w:rPr>
        <w:color w:val="64748B"/>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4748B"/>
        <w:sz w:val="16"/>
        <w:szCs w:val="16"/>
      </w:rPr>
      <w:t xml:space="preserve">AuraChat — Manuel d'administration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abstractNum w:abstractNumId="3" w15:restartNumberingAfterBreak="0">
    <w:multiLevelType w:val="hybridMultilevel"/>
    <w:lvl w:ilvl="0" w15:tentative="1">
      <w:start w:val="1"/>
      <w:numFmt w:val="decimal"/>
      <w:lvlText w:val="%1."/>
      <w:lvlJc w:val="left"/>
      <w:pPr>
        <w:ind w:left="32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2026-09-22T20:26:59.514Z</dcterms:created>
  <dcterms:modified xsi:type="dcterms:W3CDTF">2026-09-22T20:26:59.514Z</dcterms:modified>
</cp:coreProperties>
</file>

<file path=docProps/custom.xml><?xml version="1.0" encoding="utf-8"?>
<Properties xmlns="http://schemas.openxmlformats.org/officeDocument/2006/custom-properties" xmlns:vt="http://schemas.openxmlformats.org/officeDocument/2006/docPropsVTypes"/>
</file>