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563EB"/>
          <w:sz w:val="56"/>
          <w:szCs w:val="56"/>
        </w:rPr>
        <w:t xml:space="preserve">AuraChat</w:t>
      </w:r>
    </w:p>
    <w:p>
      <w:pPr>
        <w:spacing w:after="400"/>
      </w:pPr>
      <w:r>
        <w:rPr>
          <w:i/>
          <w:iCs/>
          <w:color w:val="334155"/>
          <w:sz w:val="22"/>
          <w:szCs w:val="22"/>
        </w:rPr>
        <w:t xml:space="preserve">Manuale di amministrazione — Installazione, configurazione, gestione</w:t>
      </w:r>
    </w:p>
    <w:p>
      <w:pPr>
        <w:spacing w:after="120"/>
      </w:pPr>
      <w:r>
        <w:rPr>
          <w:color w:val="1E293B"/>
          <w:sz w:val="20"/>
          <w:szCs w:val="20"/>
        </w:rPr>
        <w:t xml:space="preserve">Questo manuale è rivolto ad amministratrici e amministratori tecnici che ospitano, configurano e gestiscono autonomamente AuraChat. Per l'utilizzo stesso, vedere il manuale utente separato.</w:t>
      </w:r>
    </w:p>
    <w:p>
      <w:pPr>
        <w:pStyle w:val="Heading1"/>
        <w:pBdr>
          <w:bottom w:val="single" w:color="2563EB" w:sz="8" w:space="4"/>
        </w:pBdr>
        <w:spacing w:after="160" w:before="380"/>
      </w:pPr>
      <w:r>
        <w:rPr>
          <w:b/>
          <w:bCs/>
          <w:color w:val="0F172A"/>
          <w:sz w:val="26"/>
          <w:szCs w:val="26"/>
        </w:rPr>
        <w:t xml:space="preserve">1. Requisiti di sistema</w:t>
      </w:r>
    </w:p>
    <w:p>
      <w:pPr>
        <w:pStyle w:val="ListParagraph"/>
        <w:numPr>
          <w:ilvl w:val="0"/>
          <w:numId w:val="2"/>
        </w:numPr>
        <w:spacing w:after="60"/>
      </w:pPr>
      <w:r>
        <w:rPr>
          <w:color w:val="1E293B"/>
          <w:sz w:val="20"/>
          <w:szCs w:val="20"/>
        </w:rPr>
        <w:t xml:space="preserve">Host Linux con Docker &amp; Docker Compose (es. NAS Synology, server Ubuntu, o simili)</w:t>
      </w:r>
    </w:p>
    <w:p>
      <w:pPr>
        <w:pStyle w:val="ListParagraph"/>
        <w:numPr>
          <w:ilvl w:val="0"/>
          <w:numId w:val="2"/>
        </w:numPr>
        <w:spacing w:after="60"/>
      </w:pPr>
      <w:r>
        <w:rPr>
          <w:color w:val="1E293B"/>
          <w:sz w:val="20"/>
          <w:szCs w:val="20"/>
        </w:rPr>
        <w:t xml:space="preserve">Almeno 2 GB di RAM, consigliati 4 GB+ per il funzionamento di base</w:t>
      </w:r>
    </w:p>
    <w:p>
      <w:pPr>
        <w:pStyle w:val="ListParagraph"/>
        <w:numPr>
          <w:ilvl w:val="0"/>
          <w:numId w:val="2"/>
        </w:numPr>
        <w:spacing w:after="60"/>
      </w:pPr>
      <w:r>
        <w:rPr>
          <w:color w:val="1E293B"/>
          <w:sz w:val="20"/>
          <w:szCs w:val="20"/>
        </w:rPr>
        <w:t xml:space="preserve">Per Aura Academy inoltre: diversi GB di spazio libero e tempo di calcolo notevolmente maggiore (realisticamente diverse ore per ciclo di addestramento su sola CPU)</w:t>
      </w:r>
    </w:p>
    <w:p>
      <w:pPr>
        <w:pStyle w:val="ListParagraph"/>
        <w:numPr>
          <w:ilvl w:val="0"/>
          <w:numId w:val="2"/>
        </w:numPr>
        <w:spacing w:after="60"/>
      </w:pPr>
      <w:r>
        <w:rPr>
          <w:color w:val="1E293B"/>
          <w:sz w:val="20"/>
          <w:szCs w:val="20"/>
        </w:rPr>
        <w:t xml:space="preserve">Un server IA raggiungibile nella stessa rete (es. Ollama, LM Studio) o un accesso cloud compatibile OpenAI</w:t>
      </w:r>
    </w:p>
    <w:p>
      <w:pPr>
        <w:pStyle w:val="ListParagraph"/>
        <w:numPr>
          <w:ilvl w:val="0"/>
          <w:numId w:val="2"/>
        </w:numPr>
        <w:spacing w:after="60"/>
      </w:pPr>
      <w:r>
        <w:rPr>
          <w:color w:val="1E293B"/>
          <w:sz w:val="20"/>
          <w:szCs w:val="20"/>
        </w:rPr>
        <w:t xml:space="preserve">Opzionale: un proprio dominio per un certificato SSL automatico tramite Let's Encrypt</w:t>
      </w:r>
    </w:p>
    <w:p>
      <w:pPr>
        <w:pStyle w:val="Heading1"/>
        <w:pBdr>
          <w:bottom w:val="single" w:color="2563EB" w:sz="8" w:space="4"/>
        </w:pBdr>
        <w:spacing w:after="160" w:before="380"/>
      </w:pPr>
      <w:r>
        <w:rPr>
          <w:b/>
          <w:bCs/>
          <w:color w:val="0F172A"/>
          <w:sz w:val="26"/>
          <w:szCs w:val="26"/>
        </w:rPr>
        <w:t xml:space="preserve">2. Installazione</w:t>
      </w:r>
    </w:p>
    <w:p>
      <w:pPr>
        <w:pStyle w:val="ListParagraph"/>
        <w:numPr>
          <w:ilvl w:val="0"/>
          <w:numId w:val="3"/>
        </w:numPr>
        <w:spacing w:after="60"/>
      </w:pPr>
      <w:r>
        <w:rPr>
          <w:color w:val="1E293B"/>
          <w:sz w:val="20"/>
          <w:szCs w:val="20"/>
        </w:rPr>
        <w:t xml:space="preserve">Copiare la cartella del progetto sul server (es. /volume1/docker/AuraChat).</w:t>
      </w:r>
    </w:p>
    <w:p>
      <w:pPr>
        <w:pStyle w:val="ListParagraph"/>
        <w:numPr>
          <w:ilvl w:val="0"/>
          <w:numId w:val="3"/>
        </w:numPr>
        <w:spacing w:after="60"/>
      </w:pPr>
      <w:r>
        <w:rPr>
          <w:color w:val="1E293B"/>
          <w:sz w:val="20"/>
          <w:szCs w:val="20"/>
        </w:rPr>
        <w:t xml:space="preserve">Copiare il file .env.example in .env e inserire i propri valori:</w:t>
      </w:r>
    </w:p>
    <w:p>
      <w:pPr>
        <w:shd w:fill="0F172A" w:val="clear"/>
        <w:spacing w:after="140"/>
      </w:pPr>
      <w:r>
        <w:rPr>
          <w:rFonts w:ascii="Courier New" w:cs="Courier New" w:eastAsia="Courier New" w:hAnsi="Courier New"/>
          <w:color w:val="E2E8F0"/>
          <w:sz w:val="17"/>
          <w:szCs w:val="17"/>
        </w:rPr>
        <w:t xml:space="preserve">SESSION_SECRET=&lt;generare ad es. con openssl rand -hex 32&gt;</w:t>
      </w:r>
      <w:r>
        <w:br/>
        <w:t xml:space="preserve"/>
      </w:r>
      <w:r>
        <w:rPr>
          <w:rFonts w:ascii="Courier New" w:cs="Courier New" w:eastAsia="Courier New" w:hAnsi="Courier New"/>
          <w:color w:val="E2E8F0"/>
          <w:sz w:val="17"/>
          <w:szCs w:val="17"/>
        </w:rPr>
        <w:t xml:space="preserve">LICENSE_SECRET=&lt;proprio valore segreto&gt;</w:t>
      </w:r>
    </w:p>
    <w:p>
      <w:pPr>
        <w:pStyle w:val="ListParagraph"/>
        <w:numPr>
          <w:ilvl w:val="0"/>
          <w:numId w:val="3"/>
        </w:numPr>
        <w:spacing w:after="60"/>
      </w:pPr>
      <w:r>
        <w:rPr>
          <w:color w:val="1E293B"/>
          <w:sz w:val="20"/>
          <w:szCs w:val="20"/>
        </w:rPr>
        <w:t xml:space="preserve">Costruire e avviare i container:</w:t>
      </w:r>
    </w:p>
    <w:p>
      <w:pPr>
        <w:shd w:fill="0F172A" w:val="clear"/>
        <w:spacing w:after="140"/>
      </w:pPr>
      <w:r>
        <w:rPr>
          <w:rFonts w:ascii="Courier New" w:cs="Courier New" w:eastAsia="Courier New" w:hAnsi="Courier New"/>
          <w:color w:val="E2E8F0"/>
          <w:sz w:val="17"/>
          <w:szCs w:val="17"/>
        </w:rPr>
        <w:t xml:space="preserve">sudo docker compose up -d --build</w:t>
      </w:r>
    </w:p>
    <w:p>
      <w:pPr>
        <w:pStyle w:val="ListParagraph"/>
        <w:numPr>
          <w:ilvl w:val="0"/>
          <w:numId w:val="3"/>
        </w:numPr>
        <w:spacing w:after="60"/>
      </w:pPr>
      <w:r>
        <w:rPr>
          <w:color w:val="1E293B"/>
          <w:sz w:val="20"/>
          <w:szCs w:val="20"/>
        </w:rPr>
        <w:t xml:space="preserve">AuraChat è quindi raggiungibile su http://&lt;IP-del-server&gt;:8091.</w:t>
      </w:r>
    </w:p>
    <w:p>
      <w:pPr>
        <w:pBdr>
          <w:left w:val="single" w:color="DC2626" w:sz="16" w:space="8"/>
        </w:pBdr>
        <w:shd w:fill="FEF2F2" w:val="clear"/>
        <w:spacing w:after="140"/>
      </w:pPr>
      <w:r>
        <w:rPr>
          <w:b/>
          <w:bCs/>
          <w:color w:val="B91C1C"/>
          <w:sz w:val="19"/>
          <w:szCs w:val="19"/>
        </w:rPr>
        <w:t xml:space="preserve">⚠ Attenzione: </w:t>
      </w:r>
      <w:r>
        <w:rPr>
          <w:color w:val="7F1D1D"/>
          <w:sz w:val="19"/>
          <w:szCs w:val="19"/>
        </w:rPr>
        <w:t xml:space="preserve">Non condividere mai SESSION_SECRET e LICENSE_SECRET né inserirli in un repository pubblico. LICENSE_SECRET deve corrispondere al valore nel progetto separato del server delle licenze, se utilizzato.</w:t>
      </w:r>
    </w:p>
    <w:p>
      <w:pPr>
        <w:pStyle w:val="Heading1"/>
        <w:pBdr>
          <w:bottom w:val="single" w:color="2563EB" w:sz="8" w:space="4"/>
        </w:pBdr>
        <w:spacing w:after="160" w:before="380"/>
      </w:pPr>
      <w:r>
        <w:rPr>
          <w:b/>
          <w:bCs/>
          <w:color w:val="0F172A"/>
          <w:sz w:val="26"/>
          <w:szCs w:val="26"/>
        </w:rPr>
        <w:t xml:space="preserve">3. Configurazione iniziale</w:t>
      </w:r>
    </w:p>
    <w:p>
      <w:pPr>
        <w:spacing w:after="120"/>
      </w:pPr>
      <w:r>
        <w:rPr>
          <w:color w:val="1E293B"/>
          <w:sz w:val="20"/>
          <w:szCs w:val="20"/>
        </w:rPr>
        <w:t xml:space="preserve">Il nome utente "admin" è impostato in modo permanente come amministratore (indipendentemente dal database). Se al primo avvio non esiste ancora un account del genere, ne viene creato automaticamente uno con password "admin".</w:t>
      </w:r>
    </w:p>
    <w:p>
      <w:pPr>
        <w:pBdr>
          <w:left w:val="single" w:color="DC2626" w:sz="16" w:space="8"/>
        </w:pBdr>
        <w:shd w:fill="FEF2F2" w:val="clear"/>
        <w:spacing w:after="140"/>
      </w:pPr>
      <w:r>
        <w:rPr>
          <w:b/>
          <w:bCs/>
          <w:color w:val="B91C1C"/>
          <w:sz w:val="19"/>
          <w:szCs w:val="19"/>
        </w:rPr>
        <w:t xml:space="preserve">⚠ Attenzione: </w:t>
      </w:r>
      <w:r>
        <w:rPr>
          <w:color w:val="7F1D1D"/>
          <w:sz w:val="19"/>
          <w:szCs w:val="19"/>
        </w:rPr>
        <w:t xml:space="preserve">Cambiare subito la password dell'account admin dopo il primo accesso (Menu → Password).</w:t>
      </w:r>
    </w:p>
    <w:p>
      <w:pPr>
        <w:spacing w:after="120"/>
      </w:pPr>
      <w:r>
        <w:rPr>
          <w:color w:val="1E293B"/>
          <w:sz w:val="20"/>
          <w:szCs w:val="20"/>
        </w:rPr>
        <w:t xml:space="preserve">Per 14 giorni dal primo utilizzo, tutte le funzioni Premium sono automaticamente sbloccate in modalità di prova; successivamente si applicano i limiti della licenza attiva (vedi sezione 6).</w:t>
      </w:r>
    </w:p>
    <w:p>
      <w:pPr>
        <w:pStyle w:val="Heading1"/>
        <w:pBdr>
          <w:bottom w:val="single" w:color="2563EB" w:sz="8" w:space="4"/>
        </w:pBdr>
        <w:spacing w:after="160" w:before="380"/>
      </w:pPr>
      <w:r>
        <w:rPr>
          <w:b/>
          <w:bCs/>
          <w:color w:val="0F172A"/>
          <w:sz w:val="26"/>
          <w:szCs w:val="26"/>
        </w:rPr>
        <w:t xml:space="preserve">4. Collegare un server IA</w:t>
      </w:r>
    </w:p>
    <w:p>
      <w:pPr>
        <w:spacing w:after="120"/>
      </w:pPr>
      <w:r>
        <w:rPr>
          <w:color w:val="1E293B"/>
          <w:sz w:val="20"/>
          <w:szCs w:val="20"/>
        </w:rPr>
        <w:t xml:space="preserve">In Menu → Ricerca modello &amp; Server (visibile solo agli amministratori) si configura il server IA principale: piattaforma (Ollama, LM Studio, llama.cpp, compatibile OpenAI o OpenAI Cloud), host/porta o chiave API, nonché il modello desiderato.</w:t>
      </w:r>
    </w:p>
    <w:p>
      <w:pPr>
        <w:spacing w:after="120"/>
      </w:pPr>
      <w:r>
        <w:rPr>
          <w:color w:val="1E293B"/>
          <w:sz w:val="20"/>
          <w:szCs w:val="20"/>
        </w:rPr>
        <w:t xml:space="preserve">Opzionalmente è possibile configurare anche un modello di coding separato e un secondo modello per la verifica dell'accuratezza (entrambi Premium).</w:t>
      </w:r>
    </w:p>
    <w:p>
      <w:pPr>
        <w:pStyle w:val="Heading1"/>
        <w:pBdr>
          <w:bottom w:val="single" w:color="2563EB" w:sz="8" w:space="4"/>
        </w:pBdr>
        <w:spacing w:after="160" w:before="380"/>
      </w:pPr>
      <w:r>
        <w:rPr>
          <w:b/>
          <w:bCs/>
          <w:color w:val="0F172A"/>
          <w:sz w:val="26"/>
          <w:szCs w:val="26"/>
        </w:rPr>
        <w:t xml:space="preserve">5. Dominio &amp; SSL</w:t>
      </w:r>
    </w:p>
    <w:p>
      <w:pPr>
        <w:spacing w:after="120"/>
      </w:pPr>
      <w:r>
        <w:rPr>
          <w:color w:val="1E293B"/>
          <w:sz w:val="20"/>
          <w:szCs w:val="20"/>
        </w:rPr>
        <w:t xml:space="preserve">Nel pannello di amministrazione, sotto "SSL", è possibile impostare un proprio dominio. AuraChat si occupa quindi automaticamente dell'emissione di un certificato Let's Encrypt tramite il reverse proxy Caddy incluso. Funziona di default direttamente sulle porte 80/443 — l'installazione è così raggiungibile senza numero di porta nell'URL.</w:t>
      </w:r>
    </w:p>
    <w:p>
      <w:pPr>
        <w:pBdr>
          <w:left w:val="single" w:color="DC2626" w:sz="16" w:space="8"/>
        </w:pBdr>
        <w:shd w:fill="FEF2F2" w:val="clear"/>
        <w:spacing w:after="140"/>
      </w:pPr>
      <w:r>
        <w:rPr>
          <w:b/>
          <w:bCs/>
          <w:color w:val="B91C1C"/>
          <w:sz w:val="19"/>
          <w:szCs w:val="19"/>
        </w:rPr>
        <w:t xml:space="preserve">⚠ Attenzione: </w:t>
      </w:r>
      <w:r>
        <w:rPr>
          <w:color w:val="7F1D1D"/>
          <w:sz w:val="19"/>
          <w:szCs w:val="19"/>
        </w:rPr>
        <w:t xml:space="preserve">Il router deve inoltrare le porte esterne 80 e 443 alle stesse porte dell'installazione, altrimenti l'emissione del certificato fallisce. Se 80/443 sono già in uso sul sistema di destinazione, le porte possono essere adattate in docker-compose.yml (quindi reindirizzare di conseguenza internamente sul router).</w:t>
      </w:r>
    </w:p>
    <w:p>
      <w:pPr>
        <w:pBdr>
          <w:left w:val="single" w:color="2563EB" w:sz="16" w:space="8"/>
        </w:pBdr>
        <w:shd w:fill="EFF6FF" w:val="clear"/>
        <w:spacing w:after="140"/>
      </w:pPr>
      <w:r>
        <w:rPr>
          <w:b/>
          <w:bCs/>
          <w:color w:val="2563EB"/>
          <w:sz w:val="19"/>
          <w:szCs w:val="19"/>
        </w:rPr>
        <w:t xml:space="preserve">💡 Suggerimento: </w:t>
      </w:r>
      <w:r>
        <w:rPr>
          <w:color w:val="1E3A8A"/>
          <w:sz w:val="19"/>
          <w:szCs w:val="19"/>
        </w:rPr>
        <w:t xml:space="preserve">Dopo aver inserito il dominio nel pannello di amministrazione, fare sempre clic su "Salva", anche se il dominio sembra già corretto — questo riattiva la trasmissione a Caddy. In caso di problemi: sudo docker logs aurachat-caddy mostra il motivo esatto per cui non viene emesso alcun certificato.</w:t>
      </w:r>
    </w:p>
    <w:p>
      <w:pPr>
        <w:pStyle w:val="Heading1"/>
        <w:pBdr>
          <w:bottom w:val="single" w:color="2563EB" w:sz="8" w:space="4"/>
        </w:pBdr>
        <w:spacing w:after="160" w:before="380"/>
      </w:pPr>
      <w:r>
        <w:rPr>
          <w:b/>
          <w:bCs/>
          <w:color w:val="0F172A"/>
          <w:sz w:val="26"/>
          <w:szCs w:val="26"/>
        </w:rPr>
        <w:t xml:space="preserve">6. Gestione utenti &amp; licenze</w:t>
      </w:r>
    </w:p>
    <w:p>
      <w:pPr>
        <w:pStyle w:val="Heading2"/>
        <w:spacing w:after="100" w:before="220"/>
      </w:pPr>
      <w:r>
        <w:rPr>
          <w:b/>
          <w:bCs/>
          <w:color w:val="2563EB"/>
          <w:sz w:val="21"/>
          <w:szCs w:val="21"/>
        </w:rPr>
        <w:t xml:space="preserve">Più account amministratore</w:t>
      </w:r>
    </w:p>
    <w:p>
      <w:pPr>
        <w:spacing w:after="120"/>
      </w:pPr>
      <w:r>
        <w:rPr>
          <w:color w:val="1E293B"/>
          <w:sz w:val="20"/>
          <w:szCs w:val="20"/>
        </w:rPr>
        <w:t xml:space="preserve">Nel pannello di amministrazione, sotto "Utenti", è possibile creare nuovi account. L'interruttore "Deve diventare amministratore" è disponibile volutamente solo qui — l'autoregistrazione pubblica non può mai creare account admin. Gli utenti esistenti possono essere promossi o retrocessi successivamente tramite i pulsanti nell'elenco (tranne l'account fisso "admin"). Ogni persona nell'elenco mostra direttamente un badge "Admin" o "Utente".</w:t>
      </w:r>
    </w:p>
    <w:p>
      <w:pPr>
        <w:pStyle w:val="Heading2"/>
        <w:spacing w:after="100" w:before="220"/>
      </w:pPr>
      <w:r>
        <w:rPr>
          <w:b/>
          <w:bCs/>
          <w:color w:val="2563EB"/>
          <w:sz w:val="21"/>
          <w:szCs w:val="21"/>
        </w:rPr>
        <w:t xml:space="preserve">Utilizzo della licenza</w:t>
      </w:r>
    </w:p>
    <w:p>
      <w:pPr>
        <w:spacing w:after="120"/>
      </w:pPr>
      <w:r>
        <w:rPr>
          <w:color w:val="1E293B"/>
          <w:sz w:val="20"/>
          <w:szCs w:val="20"/>
        </w:rPr>
        <w:t xml:space="preserve">In cima alla scheda "Utenti" e alla scheda "Licenza", una riga mostra l'utilizzo attuale: quanti posti utente e amministratore della licenza sono già occupati (es. "6 / 10 utenti, 2 / 2 amministratori").</w:t>
      </w:r>
    </w:p>
    <w:p>
      <w:pPr>
        <w:pStyle w:val="Heading2"/>
        <w:spacing w:after="100" w:before="220"/>
      </w:pPr>
      <w:r>
        <w:rPr>
          <w:b/>
          <w:bCs/>
          <w:color w:val="2563EB"/>
          <w:sz w:val="21"/>
          <w:szCs w:val="21"/>
        </w:rPr>
        <w:t xml:space="preserve">Attivare una licenza</w:t>
      </w:r>
    </w:p>
    <w:p>
      <w:pPr>
        <w:spacing w:after="120"/>
      </w:pPr>
      <w:r>
        <w:rPr>
          <w:color w:val="1E293B"/>
          <w:sz w:val="20"/>
          <w:szCs w:val="20"/>
        </w:rPr>
        <w:t xml:space="preserve">Nel pannello di amministrazione, sotto "Licenza", viene inserita la chiave di licenza ricevuta. Essa determina: quali funzioni Premium sono attive, una data di scadenza opzionale, nonché limiti separati per il numero totale di utenti e amministratori.</w:t>
      </w:r>
    </w:p>
    <w:p>
      <w:pPr>
        <w:pBdr>
          <w:left w:val="single" w:color="2563EB" w:sz="16" w:space="8"/>
        </w:pBdr>
        <w:shd w:fill="EFF6FF" w:val="clear"/>
        <w:spacing w:after="140"/>
      </w:pPr>
      <w:r>
        <w:rPr>
          <w:b/>
          <w:bCs/>
          <w:color w:val="2563EB"/>
          <w:sz w:val="19"/>
          <w:szCs w:val="19"/>
        </w:rPr>
        <w:t xml:space="preserve">💡 Suggerimento: </w:t>
      </w:r>
      <w:r>
        <w:rPr>
          <w:color w:val="1E3A8A"/>
          <w:sz w:val="19"/>
          <w:szCs w:val="19"/>
        </w:rPr>
        <w:t xml:space="preserve">Senza licenza attiva si applica una dotazione base gratuita di 3 utenti e 1 amministratore.</w:t>
      </w:r>
    </w:p>
    <w:p>
      <w:pPr>
        <w:pStyle w:val="Heading2"/>
        <w:spacing w:after="100" w:before="220"/>
      </w:pPr>
      <w:r>
        <w:rPr>
          <w:b/>
          <w:bCs/>
          <w:color w:val="2563EB"/>
          <w:sz w:val="21"/>
          <w:szCs w:val="21"/>
        </w:rPr>
        <w:t xml:space="preserve">Check-in verso il server delle licenze (opzionale)</w:t>
      </w:r>
    </w:p>
    <w:p>
      <w:pPr>
        <w:spacing w:after="120"/>
      </w:pPr>
      <w:r>
        <w:rPr>
          <w:color w:val="1E293B"/>
          <w:sz w:val="20"/>
          <w:szCs w:val="20"/>
        </w:rPr>
        <w:t xml:space="preserve">Nella stessa scheda è possibile inserire l'indirizzo di un server delle licenze (solo dominio/IP, senza "http://" e senza porta — la porta fissa 8451 viene aggiunta automaticamente). Ogni 12 ore l'installazione invia quindi un breve segnale (chiave di licenza, numero utenti attuale, versione — nessun contenuto delle chat), in modo che sul server delle licenze sia visibile che questa installazione è attiva. "Invia ora" lo testa immediatamente.</w:t>
      </w:r>
    </w:p>
    <w:p>
      <w:pPr>
        <w:pBdr>
          <w:left w:val="single" w:color="DC2626" w:sz="16" w:space="8"/>
        </w:pBdr>
        <w:shd w:fill="FEF2F2" w:val="clear"/>
        <w:spacing w:after="140"/>
      </w:pPr>
      <w:r>
        <w:rPr>
          <w:b/>
          <w:bCs/>
          <w:color w:val="B91C1C"/>
          <w:sz w:val="19"/>
          <w:szCs w:val="19"/>
        </w:rPr>
        <w:t xml:space="preserve">⚠ Attenzione: </w:t>
      </w:r>
      <w:r>
        <w:rPr>
          <w:color w:val="7F1D1D"/>
          <w:sz w:val="19"/>
          <w:szCs w:val="19"/>
        </w:rPr>
        <w:t xml:space="preserve">Disattivato di default in modo intenzionale (campo vuoto). Chi attiva questa funzione dovrebbe informarne in modo trasparente i propri clienti nella propria documentazione/informativa sulla privacy.</w:t>
      </w:r>
    </w:p>
    <w:p>
      <w:pPr>
        <w:pStyle w:val="Heading1"/>
        <w:pBdr>
          <w:bottom w:val="single" w:color="2563EB" w:sz="8" w:space="4"/>
        </w:pBdr>
        <w:spacing w:after="160" w:before="380"/>
      </w:pPr>
      <w:r>
        <w:rPr>
          <w:b/>
          <w:bCs/>
          <w:color w:val="0F172A"/>
          <w:sz w:val="26"/>
          <w:szCs w:val="26"/>
        </w:rPr>
        <w:t xml:space="preserve">7. Branding personalizzato</w:t>
      </w:r>
    </w:p>
    <w:p>
      <w:pPr>
        <w:spacing w:after="120"/>
      </w:pPr>
      <w:r>
        <w:rPr>
          <w:color w:val="1E293B"/>
          <w:sz w:val="20"/>
          <w:szCs w:val="20"/>
        </w:rPr>
        <w:t xml:space="preserve">Funzione Premium "rebrand", pensata per i rivenditori che desiderano offrire il prodotto con il proprio nome. Nel pannello di amministrazione, sotto "SSL" → "Branding personalizzato", è possibile caricare un proprio logo (largo, per l'intestazione) e una propria icona (quadrata, per favicon e login) (PNG, JPG o SVG).</w:t>
      </w:r>
    </w:p>
    <w:p>
      <w:pPr>
        <w:spacing w:after="120"/>
      </w:pPr>
      <w:r>
        <w:rPr>
          <w:color w:val="1E293B"/>
          <w:sz w:val="20"/>
          <w:szCs w:val="20"/>
        </w:rPr>
        <w:t xml:space="preserve">Ha effetto immediato ovunque: intestazione, schermata di login, favicon del browser, notifiche del browser, nonché in tutti i PDF generati (esportazione chat, diario di apprendimento). "Ripristina" rimuove nuovamente il proprio logo e torna allo standard AuraChat — possibile in qualsiasi momento, anche senza licenza attiva.</w:t>
      </w:r>
    </w:p>
    <w:p>
      <w:pPr>
        <w:pStyle w:val="Heading1"/>
        <w:pBdr>
          <w:bottom w:val="single" w:color="2563EB" w:sz="8" w:space="4"/>
        </w:pBdr>
        <w:spacing w:after="160" w:before="380"/>
      </w:pPr>
      <w:r>
        <w:rPr>
          <w:b/>
          <w:bCs/>
          <w:color w:val="0F172A"/>
          <w:sz w:val="26"/>
          <w:szCs w:val="26"/>
        </w:rPr>
        <w:t xml:space="preserve">8. Configurare le integrazioni</w:t>
      </w:r>
    </w:p>
    <w:p>
      <w:pPr>
        <w:pStyle w:val="Heading2"/>
        <w:spacing w:after="100" w:before="220"/>
      </w:pPr>
      <w:r>
        <w:rPr>
          <w:b/>
          <w:bCs/>
          <w:color w:val="2563EB"/>
          <w:sz w:val="21"/>
          <w:szCs w:val="21"/>
        </w:rPr>
        <w:t xml:space="preserve">Invio e-mail (SMTP)</w:t>
      </w:r>
    </w:p>
    <w:p>
      <w:pPr>
        <w:spacing w:after="120"/>
      </w:pPr>
      <w:r>
        <w:rPr>
          <w:color w:val="1E293B"/>
          <w:sz w:val="20"/>
          <w:szCs w:val="20"/>
        </w:rPr>
        <w:t xml:space="preserve">Per le e-mail di sistema (es. nuove credenziali di accesso), da configurare in Pannello di amministrazione → Mail.</w:t>
      </w:r>
    </w:p>
    <w:p>
      <w:pPr>
        <w:pStyle w:val="Heading2"/>
        <w:spacing w:after="100" w:before="220"/>
      </w:pPr>
      <w:r>
        <w:rPr>
          <w:b/>
          <w:bCs/>
          <w:color w:val="2563EB"/>
          <w:sz w:val="21"/>
          <w:szCs w:val="21"/>
        </w:rPr>
        <w:t xml:space="preserve">Integrazione e-mail personale</w:t>
      </w:r>
    </w:p>
    <w:p>
      <w:pPr>
        <w:spacing w:after="120"/>
      </w:pPr>
      <w:r>
        <w:rPr>
          <w:color w:val="1E293B"/>
          <w:sz w:val="20"/>
          <w:szCs w:val="20"/>
        </w:rPr>
        <w:t xml:space="preserve">Per Microsoft 365/Exchange: effettuare una volta una registrazione dell'app nel proprio tenant Microsoft (Azure/Entra ID), quindi inserire Client ID e Secret in Pannello di amministrazione → API. L'esatto URI di reindirizzamento a tale scopo viene mostrato direttamente lì. Permessi Graph richiesti (delegati): Mail.Read, Mail.ReadWrite, offline_access, nonché Calendars.Read per i promemoria calendario (sezione 9). IMAP non richiede alcuna configurazione admin — ogni persona la imposta da sé per la propria casella di posta.</w:t>
      </w:r>
    </w:p>
    <w:p>
      <w:pPr>
        <w:pBdr>
          <w:left w:val="single" w:color="2563EB" w:sz="16" w:space="8"/>
        </w:pBdr>
        <w:shd w:fill="EFF6FF" w:val="clear"/>
        <w:spacing w:after="140"/>
      </w:pPr>
      <w:r>
        <w:rPr>
          <w:b/>
          <w:bCs/>
          <w:color w:val="2563EB"/>
          <w:sz w:val="19"/>
          <w:szCs w:val="19"/>
        </w:rPr>
        <w:t xml:space="preserve">💡 Suggerimento: </w:t>
      </w:r>
      <w:r>
        <w:rPr>
          <w:color w:val="1E3A8A"/>
          <w:sz w:val="19"/>
          <w:szCs w:val="19"/>
        </w:rPr>
        <w:t xml:space="preserve">Durante la creazione della registrazione dell'app: l'URL di callback va nel campo "URI di reindirizzamento" (scegliere la piattaforma "Web"), NON nel campo "Nome" — quest'ultimo è solo un nome visualizzato liberamente scelto.</w:t>
      </w:r>
    </w:p>
    <w:p>
      <w:pPr>
        <w:pStyle w:val="Heading2"/>
        <w:spacing w:after="100" w:before="220"/>
      </w:pPr>
      <w:r>
        <w:rPr>
          <w:b/>
          <w:bCs/>
          <w:color w:val="2563EB"/>
          <w:sz w:val="21"/>
          <w:szCs w:val="21"/>
        </w:rPr>
        <w:t xml:space="preserve">Domotica &amp; Sonos</w:t>
      </w:r>
    </w:p>
    <w:p>
      <w:pPr>
        <w:spacing w:after="120"/>
      </w:pPr>
      <w:r>
        <w:rPr>
          <w:color w:val="1E293B"/>
          <w:sz w:val="20"/>
          <w:szCs w:val="20"/>
        </w:rPr>
        <w:t xml:space="preserve">In Pannello di amministrazione → API è possibile configurare integrazioni di dispositivi (es. IKEA Dirigera, Sonos) nonché un server di generazione immagini. Gli altoparlanti Sonos possono inoltre essere utilizzati per annunci: in chat, ad es. "Annuncio in Soggiorno: il pranzo è pronto" — AuraChat memorizza lo stato attuale, riproduce l'annuncio parlato e poi riprende la musica dallo stesso punto. A tale scopo, in Pannello di amministrazione → API deve essere impostato un "Indirizzo server locale", tramite il quale gli altoparlanti possano raggiungere AuraChat sulla rete (es. http://10.0.55.251:8092 — l'IP/dominio reale, non "localhost").</w:t>
      </w:r>
    </w:p>
    <w:p>
      <w:pPr>
        <w:pStyle w:val="Heading2"/>
        <w:spacing w:after="100" w:before="220"/>
      </w:pPr>
      <w:r>
        <w:rPr>
          <w:b/>
          <w:bCs/>
          <w:color w:val="2563EB"/>
          <w:sz w:val="21"/>
          <w:szCs w:val="21"/>
        </w:rPr>
        <w:t xml:space="preserve">Dispositivi HTTP personalizzati (es. Raspberry Pi)</w:t>
      </w:r>
    </w:p>
    <w:p>
      <w:pPr>
        <w:spacing w:after="120"/>
      </w:pPr>
      <w:r>
        <w:rPr>
          <w:color w:val="1E293B"/>
          <w:sz w:val="20"/>
          <w:szCs w:val="20"/>
        </w:rPr>
        <w:t xml:space="preserve">Tramite "🔗 Collega la tua applicazione/dispositivo" è possibile collegare qualsiasi dispositivo autocostruito con una propria interfaccia HTTP — es. un Raspberry Pi con un piccolo script per il controllo di servomotori o relè, un ESP32 con Tasmota, o una propria app. Per dispositivo: nome, URL base, opzionalmente un header di autenticazione, nonché un numero qualsiasi di comandi (frase di attivazione in chat → chiamata HTTP).</w:t>
      </w:r>
    </w:p>
    <w:p>
      <w:pPr>
        <w:pStyle w:val="ListParagraph"/>
        <w:numPr>
          <w:ilvl w:val="0"/>
          <w:numId w:val="2"/>
        </w:numPr>
        <w:spacing w:after="60"/>
      </w:pPr>
      <w:r>
        <w:rPr>
          <w:color w:val="1E293B"/>
          <w:sz w:val="20"/>
          <w:szCs w:val="20"/>
        </w:rPr>
        <w:t xml:space="preserve">Un "{value}" nel corpo del comando viene sostituito automaticamente con il primo numero presente nel messaggio - utile per angoli/percentuali/livelli (es. "metti il servo a 90 gradi")</w:t>
      </w:r>
    </w:p>
    <w:p>
      <w:pPr>
        <w:pStyle w:val="ListParagraph"/>
        <w:numPr>
          <w:ilvl w:val="0"/>
          <w:numId w:val="2"/>
        </w:numPr>
        <w:spacing w:after="60"/>
      </w:pPr>
      <w:r>
        <w:rPr>
          <w:color w:val="1E293B"/>
          <w:sz w:val="20"/>
          <w:szCs w:val="20"/>
        </w:rPr>
        <w:t xml:space="preserve">Un modello di script pronto per un servo Raspberry Pi è disponibile su richiesta (servo_server.py, viene eseguito direttamente sul Pi, non in Docker)</w:t>
      </w:r>
    </w:p>
    <w:p>
      <w:pPr>
        <w:pStyle w:val="Heading2"/>
        <w:spacing w:after="100" w:before="220"/>
      </w:pPr>
      <w:r>
        <w:rPr>
          <w:b/>
          <w:bCs/>
          <w:color w:val="2563EB"/>
          <w:sz w:val="21"/>
          <w:szCs w:val="21"/>
        </w:rPr>
        <w:t xml:space="preserve">Input/output vocale (TTS/STT)</w:t>
      </w:r>
    </w:p>
    <w:p>
      <w:pPr>
        <w:spacing w:after="120"/>
      </w:pPr>
      <w:r>
        <w:rPr>
          <w:color w:val="1E293B"/>
          <w:sz w:val="20"/>
          <w:szCs w:val="20"/>
        </w:rPr>
        <w:t xml:space="preserve">Un server proprio può essere configurato in Pannello di amministrazione → TTS/STT. Anche i modelli possono essere gestiti direttamente lì: inserire un ID modello Hugging Face e scaricarlo, eliminare con un clic i modelli installati (risparmia spazio di archiviazione). Il dizionario di pronuncia (sostituzione del testo prima dell'output vocale) NON è volutamente esclusivo per gli amministratori — chiunque lo trova in Impostazioni → Lingua.</w:t>
      </w:r>
    </w:p>
    <w:p>
      <w:pPr>
        <w:pStyle w:val="Heading1"/>
        <w:pBdr>
          <w:bottom w:val="single" w:color="2563EB" w:sz="8" w:space="4"/>
        </w:pBdr>
        <w:spacing w:after="160" w:before="380"/>
      </w:pPr>
      <w:r>
        <w:rPr>
          <w:b/>
          <w:bCs/>
          <w:color w:val="0F172A"/>
          <w:sz w:val="26"/>
          <w:szCs w:val="26"/>
        </w:rPr>
        <w:t xml:space="preserve">9. Promemoria calendario</w:t>
      </w:r>
    </w:p>
    <w:p>
      <w:pPr>
        <w:spacing w:after="120"/>
      </w:pPr>
      <w:r>
        <w:rPr>
          <w:color w:val="1E293B"/>
          <w:sz w:val="20"/>
          <w:szCs w:val="20"/>
        </w:rPr>
        <w:t xml:space="preserve">Annuncia a voce alta e autonomamente gli appuntamenti imminenti dal calendario Microsoft 365 collegato — indipendentemente dai promemoria popup propri di Outlook, a cui un'app web non ha fondamentalmente alcun accesso. Attivabile per persona in Impostazioni → Lingua ("🗓️ Leggi i promemoria calendario"), incluso un tempo di anticipo regolabile in minuti. Richiede una connessione Microsoft 365 attiva (Menu → E-mail) con il permesso Calendars.Read (vedi sezione 8).</w:t>
      </w:r>
    </w:p>
    <w:p>
      <w:pPr>
        <w:pBdr>
          <w:left w:val="single" w:color="2563EB" w:sz="16" w:space="8"/>
        </w:pBdr>
        <w:shd w:fill="EFF6FF" w:val="clear"/>
        <w:spacing w:after="140"/>
      </w:pPr>
      <w:r>
        <w:rPr>
          <w:b/>
          <w:bCs/>
          <w:color w:val="2563EB"/>
          <w:sz w:val="19"/>
          <w:szCs w:val="19"/>
        </w:rPr>
        <w:t xml:space="preserve">💡 Suggerimento: </w:t>
      </w:r>
      <w:r>
        <w:rPr>
          <w:color w:val="1E3A8A"/>
          <w:sz w:val="19"/>
          <w:szCs w:val="19"/>
        </w:rPr>
        <w:t xml:space="preserve">Funziona puramente lato client tramite una verifica ogni 60 secondi, finché la scheda è aperta - non è un servizio in background che annuncia appuntamenti anche a browser chiuso.</w:t>
      </w:r>
    </w:p>
    <w:p>
      <w:pPr>
        <w:pStyle w:val="Heading1"/>
        <w:pBdr>
          <w:bottom w:val="single" w:color="2563EB" w:sz="8" w:space="4"/>
        </w:pBdr>
        <w:spacing w:after="160" w:before="380"/>
      </w:pPr>
      <w:r>
        <w:rPr>
          <w:b/>
          <w:bCs/>
          <w:color w:val="0F172A"/>
          <w:sz w:val="26"/>
          <w:szCs w:val="26"/>
        </w:rPr>
        <w:t xml:space="preserve">10. Modalità chiosco</w:t>
      </w:r>
    </w:p>
    <w:p>
      <w:pPr>
        <w:spacing w:after="120"/>
      </w:pPr>
      <w:r>
        <w:rPr>
          <w:color w:val="1E293B"/>
          <w:sz w:val="20"/>
          <w:szCs w:val="20"/>
        </w:rPr>
        <w:t xml:space="preserve">Una vista separata ed estremamente ridotta su /kiosk.html - solo l'avatar a schermo intero, microfono e output vocale, nessuna cronologia chat, nessun menu. Pensata ad es. per un tablet montato in modo permanente o come app autonoma sulla schermata Home (iOS: Safari → Condividi → "Aggiungi a Home" - si apre poi a schermo intero senza interfaccia del browser).</w:t>
      </w:r>
    </w:p>
    <w:p>
      <w:pPr>
        <w:pStyle w:val="Heading2"/>
        <w:spacing w:after="100" w:before="220"/>
      </w:pPr>
      <w:r>
        <w:rPr>
          <w:b/>
          <w:bCs/>
          <w:color w:val="2563EB"/>
          <w:sz w:val="21"/>
          <w:szCs w:val="21"/>
        </w:rPr>
        <w:t xml:space="preserve">Imporre per persona</w:t>
      </w:r>
    </w:p>
    <w:p>
      <w:pPr>
        <w:spacing w:after="120"/>
      </w:pPr>
      <w:r>
        <w:rPr>
          <w:color w:val="1E293B"/>
          <w:sz w:val="20"/>
          <w:szCs w:val="20"/>
        </w:rPr>
        <w:t xml:space="preserve">Pannello di amministrazione → Utenti → pulsante 📱 accanto alla persona interessata: dal login successivo, questa persona atterra automaticamente in modalità chiosco, indipendentemente dal dispositivo - utile per un account bambino o un tablet a muro che non deve mai mostrare l'interfaccia completa.</w:t>
      </w:r>
    </w:p>
    <w:p>
      <w:pPr>
        <w:pBdr>
          <w:left w:val="single" w:color="DC2626" w:sz="16" w:space="8"/>
        </w:pBdr>
        <w:shd w:fill="FEF2F2" w:val="clear"/>
        <w:spacing w:after="140"/>
      </w:pPr>
      <w:r>
        <w:rPr>
          <w:b/>
          <w:bCs/>
          <w:color w:val="B91C1C"/>
          <w:sz w:val="19"/>
          <w:szCs w:val="19"/>
        </w:rPr>
        <w:t xml:space="preserve">⚠ Attenzione: </w:t>
      </w:r>
      <w:r>
        <w:rPr>
          <w:color w:val="7F1D1D"/>
          <w:sz w:val="19"/>
          <w:szCs w:val="19"/>
        </w:rPr>
        <w:t xml:space="preserve">Via di fuga per gli amministratori: nella vista chiosco, in alto a destra, la discreta "✕" - riporta una volta all'interfaccia completa, senza reindirizzare subito di nuovo.</w:t>
      </w:r>
    </w:p>
    <w:p>
      <w:pPr>
        <w:pBdr>
          <w:left w:val="single" w:color="2563EB" w:sz="16" w:space="8"/>
        </w:pBdr>
        <w:shd w:fill="EFF6FF" w:val="clear"/>
        <w:spacing w:after="140"/>
      </w:pPr>
      <w:r>
        <w:rPr>
          <w:b/>
          <w:bCs/>
          <w:color w:val="2563EB"/>
          <w:sz w:val="19"/>
          <w:szCs w:val="19"/>
        </w:rPr>
        <w:t xml:space="preserve">💡 Suggerimento: </w:t>
      </w:r>
      <w:r>
        <w:rPr>
          <w:color w:val="1E3A8A"/>
          <w:sz w:val="19"/>
          <w:szCs w:val="19"/>
        </w:rPr>
        <w:t xml:space="preserve">Richiede la funzione Premium TTS/STT - senza un server vocale proprio configurato funziona solo l'output vocale (fallback del browser), non il riconoscimento vocale.</w:t>
      </w:r>
    </w:p>
    <w:p>
      <w:pPr>
        <w:pStyle w:val="Heading1"/>
        <w:pBdr>
          <w:bottom w:val="single" w:color="2563EB" w:sz="8" w:space="4"/>
        </w:pBdr>
        <w:spacing w:after="160" w:before="380"/>
      </w:pPr>
      <w:r>
        <w:rPr>
          <w:b/>
          <w:bCs/>
          <w:color w:val="0F172A"/>
          <w:sz w:val="26"/>
          <w:szCs w:val="26"/>
        </w:rPr>
        <w:t xml:space="preserve">11. Aura Academy</w:t>
      </w:r>
    </w:p>
    <w:p>
      <w:pPr>
        <w:spacing w:after="120"/>
      </w:pPr>
      <w:r>
        <w:rPr>
          <w:color w:val="1E293B"/>
          <w:sz w:val="20"/>
          <w:szCs w:val="20"/>
        </w:rPr>
        <w:t xml:space="preserve">Riaddestra automaticamente ogni notte all'1:00 un piccolo modello linguistico aperto (0,5 miliardi di parametri) con i fatti di memoria accumulati di tutti gli utenti. Attivabile in Pannello di amministrazione → Aura Academy.</w:t>
      </w:r>
    </w:p>
    <w:p>
      <w:pPr>
        <w:pStyle w:val="ListParagraph"/>
        <w:numPr>
          <w:ilvl w:val="0"/>
          <w:numId w:val="2"/>
        </w:numPr>
        <w:spacing w:after="60"/>
      </w:pPr>
      <w:r>
        <w:rPr>
          <w:color w:val="1E293B"/>
          <w:sz w:val="20"/>
          <w:szCs w:val="20"/>
        </w:rPr>
        <w:t xml:space="preserve">Viene eseguito direttamente nel container backend, non serve alcun deployment separato</w:t>
      </w:r>
    </w:p>
    <w:p>
      <w:pPr>
        <w:pStyle w:val="ListParagraph"/>
        <w:numPr>
          <w:ilvl w:val="0"/>
          <w:numId w:val="2"/>
        </w:numPr>
        <w:spacing w:after="60"/>
      </w:pPr>
      <w:r>
        <w:rPr>
          <w:color w:val="1E293B"/>
          <w:sz w:val="20"/>
          <w:szCs w:val="20"/>
        </w:rPr>
        <w:t xml:space="preserve">Il risultato viene salvato come Aura-AI-05b.gguf nella cartella models/</w:t>
      </w:r>
    </w:p>
    <w:p>
      <w:pPr>
        <w:pStyle w:val="ListParagraph"/>
        <w:numPr>
          <w:ilvl w:val="0"/>
          <w:numId w:val="2"/>
        </w:numPr>
        <w:spacing w:after="60"/>
      </w:pPr>
      <w:r>
        <w:rPr>
          <w:color w:val="1E293B"/>
          <w:sz w:val="20"/>
          <w:szCs w:val="20"/>
        </w:rPr>
        <w:t xml:space="preserve">"Addestra ora" avvia un test immediato invece di attendere fino all'1:00</w:t>
      </w:r>
    </w:p>
    <w:p>
      <w:pPr>
        <w:pBdr>
          <w:left w:val="single" w:color="DC2626" w:sz="16" w:space="8"/>
        </w:pBdr>
        <w:shd w:fill="FEF2F2" w:val="clear"/>
        <w:spacing w:after="140"/>
      </w:pPr>
      <w:r>
        <w:rPr>
          <w:b/>
          <w:bCs/>
          <w:color w:val="B91C1C"/>
          <w:sz w:val="19"/>
          <w:szCs w:val="19"/>
        </w:rPr>
        <w:t xml:space="preserve">⚠ Attenzione: </w:t>
      </w:r>
      <w:r>
        <w:rPr>
          <w:color w:val="7F1D1D"/>
          <w:sz w:val="19"/>
          <w:szCs w:val="19"/>
        </w:rPr>
        <w:t xml:space="preserve">Realisticamente diverse ore per ciclo su sola CPU. Il modello risultante non viene utilizzato automaticamente nella chat - è un progetto collaterale che può essere caricato manualmente in un proprio server IA (es. Ollama) se necessario.</w:t>
      </w:r>
    </w:p>
    <w:p>
      <w:pPr>
        <w:pStyle w:val="Heading1"/>
        <w:pBdr>
          <w:bottom w:val="single" w:color="2563EB" w:sz="8" w:space="4"/>
        </w:pBdr>
        <w:spacing w:after="160" w:before="380"/>
      </w:pPr>
      <w:r>
        <w:rPr>
          <w:b/>
          <w:bCs/>
          <w:color w:val="0F172A"/>
          <w:sz w:val="26"/>
          <w:szCs w:val="26"/>
        </w:rPr>
        <w:t xml:space="preserve">12. Backup, aggiornamento &amp; manutenzione</w:t>
      </w:r>
    </w:p>
    <w:p>
      <w:pPr>
        <w:pStyle w:val="Heading2"/>
        <w:spacing w:after="100" w:before="220"/>
      </w:pPr>
      <w:r>
        <w:rPr>
          <w:b/>
          <w:bCs/>
          <w:color w:val="2563EB"/>
          <w:sz w:val="21"/>
          <w:szCs w:val="21"/>
        </w:rPr>
        <w:t xml:space="preserve">Backup</w:t>
      </w:r>
    </w:p>
    <w:p>
      <w:pPr>
        <w:spacing w:after="120"/>
      </w:pPr>
      <w:r>
        <w:rPr>
          <w:color w:val="1E293B"/>
          <w:sz w:val="20"/>
          <w:szCs w:val="20"/>
        </w:rPr>
        <w:t xml:space="preserve">Pannello di amministrazione → "Backup &amp; Aggiornamento" → "Scarica backup" genera un file .zip con l'intero database (utenti, chat, impostazioni, memoria) nonché i propri certificati SSL. Il database viene salvato tramite "VACUUM INTO" di SQLite - utilizzabile in sicurezza mentre l'app continua a funzionare, non una copia grezza del file. Non incluso: la cartella models/ (risultati Aura Academy) - da salvare separatamente come copia della cartella se necessario.</w:t>
      </w:r>
    </w:p>
    <w:p>
      <w:pPr>
        <w:pStyle w:val="Heading2"/>
        <w:spacing w:after="100" w:before="220"/>
      </w:pPr>
      <w:r>
        <w:rPr>
          <w:b/>
          <w:bCs/>
          <w:color w:val="2563EB"/>
          <w:sz w:val="21"/>
          <w:szCs w:val="21"/>
        </w:rPr>
        <w:t xml:space="preserve">Ripristino</w:t>
      </w:r>
    </w:p>
    <w:p>
      <w:pPr>
        <w:spacing w:after="120"/>
      </w:pPr>
      <w:r>
        <w:rPr>
          <w:color w:val="1E293B"/>
          <w:sz w:val="20"/>
          <w:szCs w:val="20"/>
        </w:rPr>
        <w:t xml:space="preserve">Un file di backup generato in precedenza può essere ricaricato nella stessa scheda. Sostituisce l'intero database attuale; il server si riavvia quindi automaticamente (Docker lo rimette in funzione grazie a "restart: unless-stopped").</w:t>
      </w:r>
    </w:p>
    <w:p>
      <w:pPr>
        <w:pBdr>
          <w:left w:val="single" w:color="DC2626" w:sz="16" w:space="8"/>
        </w:pBdr>
        <w:shd w:fill="FEF2F2" w:val="clear"/>
        <w:spacing w:after="140"/>
      </w:pPr>
      <w:r>
        <w:rPr>
          <w:b/>
          <w:bCs/>
          <w:color w:val="B91C1C"/>
          <w:sz w:val="19"/>
          <w:szCs w:val="19"/>
        </w:rPr>
        <w:t xml:space="preserve">⚠ Attenzione: </w:t>
      </w:r>
      <w:r>
        <w:rPr>
          <w:color w:val="7F1D1D"/>
          <w:sz w:val="19"/>
          <w:szCs w:val="19"/>
        </w:rPr>
        <w:t xml:space="preserve">Non reversibile. In caso di incertezza, creare prima autonomamente un backup fresco dello stato attuale.</w:t>
      </w:r>
    </w:p>
    <w:p>
      <w:pPr>
        <w:pStyle w:val="Heading2"/>
        <w:spacing w:after="100" w:before="220"/>
      </w:pPr>
      <w:r>
        <w:rPr>
          <w:b/>
          <w:bCs/>
          <w:color w:val="2563EB"/>
          <w:sz w:val="21"/>
          <w:szCs w:val="21"/>
        </w:rPr>
        <w:t xml:space="preserve">Autoaggiornamento</w:t>
      </w:r>
    </w:p>
    <w:p>
      <w:pPr>
        <w:spacing w:after="120"/>
      </w:pPr>
      <w:r>
        <w:rPr>
          <w:color w:val="1E293B"/>
          <w:sz w:val="20"/>
          <w:szCs w:val="20"/>
        </w:rPr>
        <w:t xml:space="preserve">La stessa scheda accetta anche pacchetti di aggiornamento (stesso formato .zip dell'estrazione manuale: server.js, html/index.html, html/js/app.js, html/css/style.css). Prima dell'applicazione, ogni file .js viene controllato per errori di sintassi e viene creato un backup automatico dei file attualmente in esecuzione. Se server.js cambia, il server si riavvia brevemente in seguito.</w:t>
      </w:r>
    </w:p>
    <w:p>
      <w:pPr>
        <w:pBdr>
          <w:left w:val="single" w:color="DC2626" w:sz="16" w:space="8"/>
        </w:pBdr>
        <w:shd w:fill="FEF2F2" w:val="clear"/>
        <w:spacing w:after="140"/>
      </w:pPr>
      <w:r>
        <w:rPr>
          <w:b/>
          <w:bCs/>
          <w:color w:val="B91C1C"/>
          <w:sz w:val="19"/>
          <w:szCs w:val="19"/>
        </w:rPr>
        <w:t xml:space="preserve">⚠ Attenzione: </w:t>
      </w:r>
      <w:r>
        <w:rPr>
          <w:color w:val="7F1D1D"/>
          <w:sz w:val="19"/>
          <w:szCs w:val="19"/>
        </w:rPr>
        <w:t xml:space="preserve">Gli aggiornamenti che richiedono nuove dipendenze npm (es. un futuro aggiornamento che necessita di un nuovo pacchetto) vengono rilevati ma NON applicati automaticamente - package.json viene quindi saltato e appare un avviso di applicare invece l'aggiornamento manualmente nel modo classico (vedi sotto).</w:t>
      </w:r>
    </w:p>
    <w:p>
      <w:pPr>
        <w:pStyle w:val="Heading2"/>
        <w:spacing w:after="100" w:before="220"/>
      </w:pPr>
      <w:r>
        <w:rPr>
          <w:b/>
          <w:bCs/>
          <w:color w:val="2563EB"/>
          <w:sz w:val="21"/>
          <w:szCs w:val="21"/>
        </w:rPr>
        <w:t xml:space="preserve">Applicazione manuale di un aggiornamento</w:t>
      </w:r>
    </w:p>
    <w:p>
      <w:pPr>
        <w:shd w:fill="0F172A" w:val="clear"/>
        <w:spacing w:after="140"/>
      </w:pPr>
      <w:r>
        <w:rPr>
          <w:rFonts w:ascii="Courier New" w:cs="Courier New" w:eastAsia="Courier New" w:hAnsi="Courier New"/>
          <w:color w:val="E2E8F0"/>
          <w:sz w:val="17"/>
          <w:szCs w:val="17"/>
        </w:rPr>
        <w:t xml:space="preserve">sudo docker compose down</w:t>
      </w:r>
      <w:r>
        <w:br/>
        <w:t xml:space="preserve"/>
      </w:r>
      <w:r>
        <w:rPr>
          <w:rFonts w:ascii="Courier New" w:cs="Courier New" w:eastAsia="Courier New" w:hAnsi="Courier New"/>
          <w:color w:val="E2E8F0"/>
          <w:sz w:val="17"/>
          <w:szCs w:val="17"/>
        </w:rPr>
        <w:t xml:space="preserve">sudo docker compose up -d --build   # da rieseguire dopo ogni aggiornamento estratto manualmente</w:t>
      </w:r>
    </w:p>
    <w:p>
      <w:pPr>
        <w:pBdr>
          <w:left w:val="single" w:color="2563EB" w:sz="16" w:space="8"/>
        </w:pBdr>
        <w:shd w:fill="EFF6FF" w:val="clear"/>
        <w:spacing w:after="140"/>
      </w:pPr>
      <w:r>
        <w:rPr>
          <w:b/>
          <w:bCs/>
          <w:color w:val="2563EB"/>
          <w:sz w:val="19"/>
          <w:szCs w:val="19"/>
        </w:rPr>
        <w:t xml:space="preserve">💡 Suggerimento: </w:t>
      </w:r>
      <w:r>
        <w:rPr>
          <w:color w:val="1E3A8A"/>
          <w:sz w:val="19"/>
          <w:szCs w:val="19"/>
        </w:rPr>
        <w:t xml:space="preserve">Sempre prima "down", poi "up -d --build" - un semplice "up" senza un "down" precedente può far sì che vecchi container (con vecchie impostazioni come mappature di porte) continuino a funzionare.</w:t>
      </w:r>
    </w:p>
    <w:p>
      <w:pPr>
        <w:pStyle w:val="Heading1"/>
        <w:pBdr>
          <w:bottom w:val="single" w:color="2563EB" w:sz="8" w:space="4"/>
        </w:pBdr>
        <w:spacing w:after="160" w:before="380"/>
      </w:pPr>
      <w:r>
        <w:rPr>
          <w:b/>
          <w:bCs/>
          <w:color w:val="0F172A"/>
          <w:sz w:val="26"/>
          <w:szCs w:val="26"/>
        </w:rPr>
        <w:t xml:space="preserve">13. Server delle licenze: gestione clienti, rivenditori &amp; check-in</w:t>
      </w:r>
    </w:p>
    <w:p>
      <w:pPr>
        <w:spacing w:after="120"/>
      </w:pPr>
      <w:r>
        <w:rPr>
          <w:color w:val="1E293B"/>
          <w:sz w:val="20"/>
          <w:szCs w:val="20"/>
        </w:rPr>
        <w:t xml:space="preserve">Il progetto separato AuraChat-License offre, oltre alla generazione delle licenze, anche una panoramica clienti.</w:t>
      </w:r>
    </w:p>
    <w:p>
      <w:pPr>
        <w:pStyle w:val="Heading2"/>
        <w:spacing w:after="100" w:before="220"/>
      </w:pPr>
      <w:r>
        <w:rPr>
          <w:b/>
          <w:bCs/>
          <w:color w:val="2563EB"/>
          <w:sz w:val="21"/>
          <w:szCs w:val="21"/>
        </w:rPr>
        <w:t xml:space="preserve">Clienti &amp; costi</w:t>
      </w:r>
    </w:p>
    <w:p>
      <w:pPr>
        <w:spacing w:after="120"/>
      </w:pPr>
      <w:r>
        <w:rPr>
          <w:color w:val="1E293B"/>
          <w:sz w:val="20"/>
          <w:szCs w:val="20"/>
        </w:rPr>
        <w:t xml:space="preserve">Durante la generazione di una licenza è possibile registrare anche indirizzo, persona responsabile, e-mail di contatto, nonché prezzi per utente/amministratore e tipo di hosting (self-hosted/cloud). In "👥 Clienti" appare, per ogni cliente, la licenza più recente con i costi mensili stimati calcolati da essa, più una panoramica generale (numero di clienti, installazioni attive, entrate totali stimate).</w:t>
      </w:r>
    </w:p>
    <w:p>
      <w:pPr>
        <w:pBdr>
          <w:left w:val="single" w:color="2563EB" w:sz="16" w:space="8"/>
        </w:pBdr>
        <w:shd w:fill="EFF6FF" w:val="clear"/>
        <w:spacing w:after="140"/>
      </w:pPr>
      <w:r>
        <w:rPr>
          <w:b/>
          <w:bCs/>
          <w:color w:val="2563EB"/>
          <w:sz w:val="19"/>
          <w:szCs w:val="19"/>
        </w:rPr>
        <w:t xml:space="preserve">💡 Suggerimento: </w:t>
      </w:r>
      <w:r>
        <w:rPr>
          <w:color w:val="1E3A8A"/>
          <w:sz w:val="19"/>
          <w:szCs w:val="19"/>
        </w:rPr>
        <w:t xml:space="preserve">Prezzi/indirizzo sono pura contabilità sul server delle licenze - NON sono incorporati nella chiave di licenza firmata stessa che riceve la singola installazione AuraChat.</w:t>
      </w:r>
    </w:p>
    <w:p>
      <w:pPr>
        <w:pStyle w:val="Heading2"/>
        <w:spacing w:after="100" w:before="220"/>
      </w:pPr>
      <w:r>
        <w:rPr>
          <w:b/>
          <w:bCs/>
          <w:color w:val="2563EB"/>
          <w:sz w:val="21"/>
          <w:szCs w:val="21"/>
        </w:rPr>
        <w:t xml:space="preserve">Stato del check-in</w:t>
      </w:r>
    </w:p>
    <w:p>
      <w:pPr>
        <w:spacing w:after="120"/>
      </w:pPr>
      <w:r>
        <w:rPr>
          <w:color w:val="1E293B"/>
          <w:sz w:val="20"/>
          <w:szCs w:val="20"/>
        </w:rPr>
        <w:t xml:space="preserve">Se un'installazione AuraChat attiva il check-in (vedi sezione 6), appare nella panoramica clienti con 🟢 (vista nelle ultime 48h) o ⚪ (non vista da più tempo / mai), incluso l'orario e il numero di utenti segnalato.</w:t>
      </w:r>
    </w:p>
    <w:p>
      <w:pPr>
        <w:pStyle w:val="Heading2"/>
        <w:spacing w:after="100" w:before="220"/>
      </w:pPr>
      <w:r>
        <w:rPr>
          <w:b/>
          <w:bCs/>
          <w:color w:val="2563EB"/>
          <w:sz w:val="21"/>
          <w:szCs w:val="21"/>
        </w:rPr>
        <w:t xml:space="preserve">Portale rivenditori</w:t>
      </w:r>
    </w:p>
    <w:p>
      <w:pPr>
        <w:spacing w:after="120"/>
      </w:pPr>
      <w:r>
        <w:rPr>
          <w:color w:val="1E293B"/>
          <w:sz w:val="20"/>
          <w:szCs w:val="20"/>
        </w:rPr>
        <w:t xml:space="preserve">Un sistema di login autonomo per i rivenditori, separato dal proprio accesso superadmin (login "admin"). In "🤝 Rivenditori" (visibile solo come superadmin) è possibile creare account rivenditore: nome, nome utente/password propri, percentuale di sconto individuale, e-mail di contatto. Dopo il proprio login, un rivenditore vede esclusivamente i propri clienti finali/licenze - mai quelli di altri rivenditori o i propri clienti diretti.</w:t>
      </w:r>
    </w:p>
    <w:p>
      <w:pPr>
        <w:pStyle w:val="ListParagraph"/>
        <w:numPr>
          <w:ilvl w:val="0"/>
          <w:numId w:val="2"/>
        </w:numPr>
        <w:spacing w:after="60"/>
      </w:pPr>
      <w:r>
        <w:rPr>
          <w:color w:val="1E293B"/>
          <w:sz w:val="20"/>
          <w:szCs w:val="20"/>
        </w:rPr>
        <w:t xml:space="preserve">Durante la generazione di una licenza, a un rivenditore viene mostrato il proprio sconto come prezzo di riferimento - il prezzo effettivo per il cliente finale (i campi prezzo nel modulo) resta liberamente modificabile</w:t>
      </w:r>
    </w:p>
    <w:p>
      <w:pPr>
        <w:pStyle w:val="ListParagraph"/>
        <w:numPr>
          <w:ilvl w:val="0"/>
          <w:numId w:val="2"/>
        </w:numPr>
        <w:spacing w:after="60"/>
      </w:pPr>
      <w:r>
        <w:rPr>
          <w:color w:val="1E293B"/>
          <w:sz w:val="20"/>
          <w:szCs w:val="20"/>
        </w:rPr>
        <w:t xml:space="preserve">Reset della password e disattivazione di un account rivenditore: anche in "🤝 Rivenditori", solo superadmin</w:t>
      </w:r>
    </w:p>
    <w:p>
      <w:pPr>
        <w:pStyle w:val="ListParagraph"/>
        <w:numPr>
          <w:ilvl w:val="0"/>
          <w:numId w:val="2"/>
        </w:numPr>
        <w:spacing w:after="60"/>
      </w:pPr>
      <w:r>
        <w:rPr>
          <w:color w:val="1E293B"/>
          <w:sz w:val="20"/>
          <w:szCs w:val="20"/>
        </w:rPr>
        <w:t xml:space="preserve">Scaglioni di sconto equi come punto di partenza: 20% senza minimo d'ordine, 30% da 10 licenze clienti finali attive, 40% da 25</w:t>
      </w:r>
    </w:p>
    <w:p>
      <w:pPr>
        <w:pBdr>
          <w:left w:val="single" w:color="DC2626" w:sz="16" w:space="8"/>
        </w:pBdr>
        <w:shd w:fill="FEF2F2" w:val="clear"/>
        <w:spacing w:after="140"/>
      </w:pPr>
      <w:r>
        <w:rPr>
          <w:b/>
          <w:bCs/>
          <w:color w:val="B91C1C"/>
          <w:sz w:val="19"/>
          <w:szCs w:val="19"/>
        </w:rPr>
        <w:t xml:space="preserve">⚠ Attenzione: </w:t>
      </w:r>
      <w:r>
        <w:rPr>
          <w:color w:val="7F1D1D"/>
          <w:sz w:val="19"/>
          <w:szCs w:val="19"/>
        </w:rPr>
        <w:t xml:space="preserve">Backup/ripristino e la gestione rivenditori stessa restano esclusivamente riservati al superadmin - un rivenditore non può né vedere altri rivenditori né salvare/ripristinare il database complessivo.</w:t>
      </w:r>
    </w:p>
    <w:p>
      <w:pPr>
        <w:pStyle w:val="Heading2"/>
        <w:spacing w:after="100" w:before="220"/>
      </w:pPr>
      <w:r>
        <w:rPr>
          <w:b/>
          <w:bCs/>
          <w:color w:val="2563EB"/>
          <w:sz w:val="21"/>
          <w:szCs w:val="21"/>
        </w:rPr>
        <w:t xml:space="preserve">Modificare i clienti</w:t>
      </w:r>
    </w:p>
    <w:p>
      <w:pPr>
        <w:spacing w:after="120"/>
      </w:pPr>
      <w:r>
        <w:rPr>
          <w:color w:val="1E293B"/>
          <w:sz w:val="20"/>
          <w:szCs w:val="20"/>
        </w:rPr>
        <w:t xml:space="preserve">In "👥 Clienti", ogni voce ha "✏️ Modifica" - modifica successivamente indirizzo/contatto/prezzi, senza rigenerare la chiave di licenza firmata stessa. Per altre funzioni/limiti, continuare a emettere una nuova licenza.</w:t>
      </w:r>
    </w:p>
    <w:p>
      <w:pPr>
        <w:pStyle w:val="Heading2"/>
        <w:spacing w:after="100" w:before="220"/>
      </w:pPr>
      <w:r>
        <w:rPr>
          <w:b/>
          <w:bCs/>
          <w:color w:val="2563EB"/>
          <w:sz w:val="21"/>
          <w:szCs w:val="21"/>
        </w:rPr>
        <w:t xml:space="preserve">Backup</w:t>
      </w:r>
    </w:p>
    <w:p>
      <w:pPr>
        <w:spacing w:after="120"/>
      </w:pPr>
      <w:r>
        <w:rPr>
          <w:color w:val="1E293B"/>
          <w:sz w:val="20"/>
          <w:szCs w:val="20"/>
        </w:rPr>
        <w:t xml:space="preserve">Analogamente ad AuraChat stesso: in fondo alla pagina principale del server delle licenze è possibile scaricare e, se necessario, ripristinare un backup di tutte le licenze emesse E degli account rivenditore.</w:t>
      </w:r>
    </w:p>
    <w:p>
      <w:pPr>
        <w:pStyle w:val="Heading1"/>
        <w:pBdr>
          <w:bottom w:val="single" w:color="2563EB" w:sz="8" w:space="4"/>
        </w:pBdr>
        <w:spacing w:after="160" w:before="380"/>
      </w:pPr>
      <w:r>
        <w:rPr>
          <w:b/>
          <w:bCs/>
          <w:color w:val="0F172A"/>
          <w:sz w:val="26"/>
          <w:szCs w:val="26"/>
        </w:rPr>
        <w:t xml:space="preserve">14. Insidie note</w:t>
      </w:r>
    </w:p>
    <w:p>
      <w:pPr>
        <w:pStyle w:val="Heading2"/>
        <w:spacing w:after="100" w:before="220"/>
      </w:pPr>
      <w:r>
        <w:rPr>
          <w:b/>
          <w:bCs/>
          <w:color w:val="2563EB"/>
          <w:sz w:val="21"/>
          <w:szCs w:val="21"/>
        </w:rPr>
        <w:t xml:space="preserve">Le modifiche non arrivano nel browser</w:t>
      </w:r>
    </w:p>
    <w:p>
      <w:pPr>
        <w:spacing w:after="120"/>
      </w:pPr>
      <w:r>
        <w:rPr>
          <w:color w:val="1E293B"/>
          <w:sz w:val="20"/>
          <w:szCs w:val="20"/>
        </w:rPr>
        <w:t xml:space="preserve">Verificare prima se è davvero in esecuzione la versione più recente: usare docker exec &lt;container&gt; per accedere direttamente al file interessato e confrontarlo con la versione fornita (es. tramite grep -c su un testo caratteristico). Causa più comune: Docker Compose associa i container alla cartella da cui sono stati avviati - un docker compose down da un'altra cartella (es. una sottocartella) potrebbe non raggiungere i container esistenti.</w:t>
      </w:r>
    </w:p>
    <w:p>
      <w:pPr>
        <w:pStyle w:val="Heading2"/>
        <w:spacing w:after="100" w:before="220"/>
      </w:pPr>
      <w:r>
        <w:rPr>
          <w:b/>
          <w:bCs/>
          <w:color w:val="2563EB"/>
          <w:sz w:val="21"/>
          <w:szCs w:val="21"/>
        </w:rPr>
        <w:t xml:space="preserve">L'estrazione di un aggiornamento non sovrascrive realmente i file</w:t>
      </w:r>
    </w:p>
    <w:p>
      <w:pPr>
        <w:spacing w:after="120"/>
      </w:pPr>
      <w:r>
        <w:rPr>
          <w:color w:val="1E293B"/>
          <w:sz w:val="20"/>
          <w:szCs w:val="20"/>
        </w:rPr>
        <w:t xml:space="preserve">unzip senza -o chiede individualmente per ogni file esistente, oppure lo salta silenziosamente. Usare sempre unzip -o. Come controllo prima dell'estrazione, confrontare il checksum del file scaricato (md5sum) con quello fornito - questo esclude che sia stato usato per errore un file più vecchio con lo stesso nome.</w:t>
      </w:r>
    </w:p>
    <w:p>
      <w:pPr>
        <w:pStyle w:val="Heading2"/>
        <w:spacing w:after="100" w:before="220"/>
      </w:pPr>
      <w:r>
        <w:rPr>
          <w:b/>
          <w:bCs/>
          <w:color w:val="2563EB"/>
          <w:sz w:val="21"/>
          <w:szCs w:val="21"/>
        </w:rPr>
        <w:t xml:space="preserve">Nome del servizio Docker vs. nome del container</w:t>
      </w:r>
    </w:p>
    <w:p>
      <w:pPr>
        <w:spacing w:after="120"/>
      </w:pPr>
      <w:r>
        <w:rPr>
          <w:color w:val="1E293B"/>
          <w:sz w:val="20"/>
          <w:szCs w:val="20"/>
        </w:rPr>
        <w:t xml:space="preserve">sudo docker compose restart &lt;nome&gt; richiede il nome del SERVIZIO da docker-compose.yml (es. "backend"), non il container_name (es. "aurachat-backend") - i due sono volutamente denominati in modo diverso. sudo docker ps mostra i nomi effettivi dei container.</w:t>
      </w:r>
    </w:p>
    <w:p>
      <w:pPr>
        <w:pStyle w:val="Heading2"/>
        <w:spacing w:after="100" w:before="220"/>
      </w:pPr>
      <w:r>
        <w:rPr>
          <w:b/>
          <w:bCs/>
          <w:color w:val="2563EB"/>
          <w:sz w:val="21"/>
          <w:szCs w:val="21"/>
        </w:rPr>
        <w:t xml:space="preserve">Container orfani</w:t>
      </w:r>
    </w:p>
    <w:p>
      <w:pPr>
        <w:spacing w:after="120"/>
      </w:pPr>
      <w:r>
        <w:rPr>
          <w:color w:val="1E293B"/>
          <w:sz w:val="20"/>
          <w:szCs w:val="20"/>
        </w:rPr>
        <w:t xml:space="preserve">sudo docker ps -a mostra davvero tutti i container sull'host, indipendentemente dalla cartella di avvio. I container non più necessari possono essere rimossi direttamente per nome: sudo docker stop &lt;nome&gt; &amp;&amp; sudo docker rm &lt;nome&gt;.</w:t>
      </w:r>
    </w:p>
    <w:p>
      <w:pPr>
        <w:pStyle w:val="Heading2"/>
        <w:spacing w:after="100" w:before="220"/>
      </w:pPr>
      <w:r>
        <w:rPr>
          <w:b/>
          <w:bCs/>
          <w:color w:val="2563EB"/>
          <w:sz w:val="21"/>
          <w:szCs w:val="21"/>
        </w:rPr>
        <w:t xml:space="preserve">Problemi di permessi su VM con remapping dello spazio dei nomi utente</w:t>
      </w:r>
    </w:p>
    <w:p>
      <w:pPr>
        <w:spacing w:after="120"/>
      </w:pPr>
      <w:r>
        <w:rPr>
          <w:color w:val="1E293B"/>
          <w:sz w:val="20"/>
          <w:szCs w:val="20"/>
        </w:rPr>
        <w:t xml:space="preserve">Su alcuni ambienti virtualizzati (es. container LXD/Incus con mapping dello spazio dei nomi utente attivato), "root" all'interno del container Docker viene in realtà eseguito con un UID diverso, non privilegiato, sull'host reale. Questo si manifesta ad es. come "SQLITE_READONLY: attempt to write a readonly database", anche se la cartella data/ sembra avere i permessi corretti. Rimedio: sudo chmod -R 777 data/ models/ (generoso, ma affidabile) e quindi riavviare il container interessato.</w:t>
      </w:r>
    </w:p>
    <w:p>
      <w:pPr>
        <w:pStyle w:val="Heading2"/>
        <w:spacing w:after="100" w:before="220"/>
      </w:pPr>
      <w:r>
        <w:rPr>
          <w:b/>
          <w:bCs/>
          <w:color w:val="2563EB"/>
          <w:sz w:val="21"/>
          <w:szCs w:val="21"/>
        </w:rPr>
        <w:t xml:space="preserve">Dominio/HTTPS: "server is listening only on the HTTP port"</w:t>
      </w:r>
    </w:p>
    <w:p>
      <w:pPr>
        <w:spacing w:after="120"/>
      </w:pPr>
      <w:r>
        <w:rPr>
          <w:color w:val="1E293B"/>
          <w:sz w:val="20"/>
          <w:szCs w:val="20"/>
        </w:rPr>
        <w:t xml:space="preserve">Questo messaggio in sudo docker logs aurachat-caddy significa che Caddy sta ancora usando la configurazione di fallback solo HTTP integrata, non quella specifica del dominio con HTTPS automatico. Di solito aiuta: reinserire il dominio nel pannello di amministrazione e fare di nuovo clic su "Salva" (riattiva una nuova trasmissione a Caddy), quindi controllare subito dopo sudo docker logs aurachat-backend.</w:t>
      </w:r>
    </w:p>
    <w:p>
      <w:pPr>
        <w:pStyle w:val="Heading2"/>
        <w:spacing w:after="100" w:before="220"/>
      </w:pPr>
      <w:r>
        <w:rPr>
          <w:b/>
          <w:bCs/>
          <w:color w:val="2563EB"/>
          <w:sz w:val="21"/>
          <w:szCs w:val="21"/>
        </w:rPr>
        <w:t xml:space="preserve">Caching di rete</w:t>
      </w:r>
    </w:p>
    <w:p>
      <w:pPr>
        <w:spacing w:after="120"/>
      </w:pPr>
      <w:r>
        <w:rPr>
          <w:color w:val="1E293B"/>
          <w:sz w:val="20"/>
          <w:szCs w:val="20"/>
        </w:rPr>
        <w:t xml:space="preserve">I firewall con funzione di web caching/proxy (es. "Web content caching" di Sophos) possono dare l'impressione di stati "vecchi" durante lo sviluppo attivo, anche se il server è stato correttamente aggiornato. In caso di dubbio: verificare per prova direttamente sul server stesso tramite curl localhost se il server fornisce davvero lo stato attuale.</w:t>
      </w:r>
    </w:p>
    <w:p>
      <w:pPr>
        <w:pStyle w:val="Heading2"/>
        <w:spacing w:after="100" w:before="220"/>
      </w:pPr>
      <w:r>
        <w:rPr>
          <w:b/>
          <w:bCs/>
          <w:color w:val="2563EB"/>
          <w:sz w:val="21"/>
          <w:szCs w:val="21"/>
        </w:rPr>
        <w:t xml:space="preserve">Aura Academy e Alpine Linux</w:t>
      </w:r>
    </w:p>
    <w:p>
      <w:pPr>
        <w:spacing w:after="120"/>
      </w:pPr>
      <w:r>
        <w:rPr>
          <w:color w:val="1E293B"/>
          <w:sz w:val="20"/>
          <w:szCs w:val="20"/>
        </w:rPr>
        <w:t xml:space="preserve">Il container backend viene eseguito volutamente su un'immagine Node basata su Debian (non Alpine) - PyTorch non offre pacchetti pronti per la libreria musl utilizzata in Alpine.</w:t>
      </w:r>
    </w:p>
    <w:sectPr>
      <w:headerReference w:type="default" r:id="rId7"/>
      <w:footerReference w:type="default" r:id="rId8"/>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5"/>
        <w:szCs w:val="15"/>
      </w:rPr>
      <w:t xml:space="preserve">AuraChat  ·  Pagina </w:t>
    </w:r>
    <w:r>
      <w:rPr>
        <w:color w:val="64748B"/>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4748B"/>
        <w:sz w:val="16"/>
        <w:szCs w:val="16"/>
      </w:rPr>
      <w:t xml:space="preserve">AuraChat — Manuale di amministrazione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abstractNum w:abstractNumId="3" w15:restartNumberingAfterBreak="0">
    <w:multiLevelType w:val="hybridMultilevel"/>
    <w:lvl w:ilvl="0" w15:tentative="1">
      <w:start w:val="1"/>
      <w:numFmt w:val="decimal"/>
      <w:lvlText w:val="%1."/>
      <w:lvlJc w:val="left"/>
      <w:pPr>
        <w:ind w:left="32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2026-09-22T20:28:14.770Z</dcterms:created>
  <dcterms:modified xsi:type="dcterms:W3CDTF">2026-09-22T20:28:14.771Z</dcterms:modified>
</cp:coreProperties>
</file>

<file path=docProps/custom.xml><?xml version="1.0" encoding="utf-8"?>
<Properties xmlns="http://schemas.openxmlformats.org/officeDocument/2006/custom-properties" xmlns:vt="http://schemas.openxmlformats.org/officeDocument/2006/docPropsVTypes"/>
</file>