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Manual de administración — Instalación, configuración, operación</w:t>
      </w:r>
    </w:p>
    <w:p>
      <w:pPr>
        <w:spacing w:after="120"/>
      </w:pPr>
      <w:r>
        <w:rPr>
          <w:color w:val="1E293B"/>
          <w:sz w:val="20"/>
          <w:szCs w:val="20"/>
        </w:rPr>
        <w:t xml:space="preserve">Este manual está dirigido a administradoras y administradores técnicos que alojan, configuran y operan AuraChat por sí mismos. Para el uso en sí, consulta el manual de usuario independiente.</w:t>
      </w:r>
    </w:p>
    <w:p>
      <w:pPr>
        <w:pStyle w:val="Heading1"/>
        <w:pBdr>
          <w:bottom w:val="single" w:color="2563EB" w:sz="8" w:space="4"/>
        </w:pBdr>
        <w:spacing w:after="160" w:before="380"/>
      </w:pPr>
      <w:r>
        <w:rPr>
          <w:b/>
          <w:bCs/>
          <w:color w:val="0F172A"/>
          <w:sz w:val="26"/>
          <w:szCs w:val="26"/>
        </w:rPr>
        <w:t xml:space="preserve">1. Requisitos del sistema</w:t>
      </w:r>
    </w:p>
    <w:p>
      <w:pPr>
        <w:pStyle w:val="ListParagraph"/>
        <w:numPr>
          <w:ilvl w:val="0"/>
          <w:numId w:val="2"/>
        </w:numPr>
        <w:spacing w:after="60"/>
      </w:pPr>
      <w:r>
        <w:rPr>
          <w:color w:val="1E293B"/>
          <w:sz w:val="20"/>
          <w:szCs w:val="20"/>
        </w:rPr>
        <w:t xml:space="preserve">Host Linux con Docker y Docker Compose (p. ej. NAS Synology, servidor Ubuntu, o similar)</w:t>
      </w:r>
    </w:p>
    <w:p>
      <w:pPr>
        <w:pStyle w:val="ListParagraph"/>
        <w:numPr>
          <w:ilvl w:val="0"/>
          <w:numId w:val="2"/>
        </w:numPr>
        <w:spacing w:after="60"/>
      </w:pPr>
      <w:r>
        <w:rPr>
          <w:color w:val="1E293B"/>
          <w:sz w:val="20"/>
          <w:szCs w:val="20"/>
        </w:rPr>
        <w:t xml:space="preserve">Al menos 2 GB de RAM, se recomiendan 4 GB+ para el funcionamiento básico</w:t>
      </w:r>
    </w:p>
    <w:p>
      <w:pPr>
        <w:pStyle w:val="ListParagraph"/>
        <w:numPr>
          <w:ilvl w:val="0"/>
          <w:numId w:val="2"/>
        </w:numPr>
        <w:spacing w:after="60"/>
      </w:pPr>
      <w:r>
        <w:rPr>
          <w:color w:val="1E293B"/>
          <w:sz w:val="20"/>
          <w:szCs w:val="20"/>
        </w:rPr>
        <w:t xml:space="preserve">Para Aura Academy además: varios GB de espacio libre y notablemente más tiempo de cómputo (realistamente varias horas por ciclo de entrenamiento solo con CPU)</w:t>
      </w:r>
    </w:p>
    <w:p>
      <w:pPr>
        <w:pStyle w:val="ListParagraph"/>
        <w:numPr>
          <w:ilvl w:val="0"/>
          <w:numId w:val="2"/>
        </w:numPr>
        <w:spacing w:after="60"/>
      </w:pPr>
      <w:r>
        <w:rPr>
          <w:color w:val="1E293B"/>
          <w:sz w:val="20"/>
          <w:szCs w:val="20"/>
        </w:rPr>
        <w:t xml:space="preserve">Un servidor de IA accesible en la misma red (p. ej. Ollama, LM Studio) o un acceso en la nube compatible con OpenAI</w:t>
      </w:r>
    </w:p>
    <w:p>
      <w:pPr>
        <w:pStyle w:val="ListParagraph"/>
        <w:numPr>
          <w:ilvl w:val="0"/>
          <w:numId w:val="2"/>
        </w:numPr>
        <w:spacing w:after="60"/>
      </w:pPr>
      <w:r>
        <w:rPr>
          <w:color w:val="1E293B"/>
          <w:sz w:val="20"/>
          <w:szCs w:val="20"/>
        </w:rPr>
        <w:t xml:space="preserve">Opcional: un dominio propio para un certificado SSL automático vía Let's Encrypt</w:t>
      </w:r>
    </w:p>
    <w:p>
      <w:pPr>
        <w:pStyle w:val="Heading1"/>
        <w:pBdr>
          <w:bottom w:val="single" w:color="2563EB" w:sz="8" w:space="4"/>
        </w:pBdr>
        <w:spacing w:after="160" w:before="380"/>
      </w:pPr>
      <w:r>
        <w:rPr>
          <w:b/>
          <w:bCs/>
          <w:color w:val="0F172A"/>
          <w:sz w:val="26"/>
          <w:szCs w:val="26"/>
        </w:rPr>
        <w:t xml:space="preserve">2. Instalación</w:t>
      </w:r>
    </w:p>
    <w:p>
      <w:pPr>
        <w:pStyle w:val="ListParagraph"/>
        <w:numPr>
          <w:ilvl w:val="0"/>
          <w:numId w:val="3"/>
        </w:numPr>
        <w:spacing w:after="60"/>
      </w:pPr>
      <w:r>
        <w:rPr>
          <w:color w:val="1E293B"/>
          <w:sz w:val="20"/>
          <w:szCs w:val="20"/>
        </w:rPr>
        <w:t xml:space="preserve">Copiar la carpeta del proyecto al servidor (p. ej. /volume1/docker/AuraChat).</w:t>
      </w:r>
    </w:p>
    <w:p>
      <w:pPr>
        <w:pStyle w:val="ListParagraph"/>
        <w:numPr>
          <w:ilvl w:val="0"/>
          <w:numId w:val="3"/>
        </w:numPr>
        <w:spacing w:after="60"/>
      </w:pPr>
      <w:r>
        <w:rPr>
          <w:color w:val="1E293B"/>
          <w:sz w:val="20"/>
          <w:szCs w:val="20"/>
        </w:rPr>
        <w:t xml:space="preserve">Copiar el archivo .env.example a .env e introducir tus propios valores:</w:t>
      </w:r>
    </w:p>
    <w:p>
      <w:pPr>
        <w:shd w:fill="0F172A" w:val="clear"/>
        <w:spacing w:after="140"/>
      </w:pPr>
      <w:r>
        <w:rPr>
          <w:rFonts w:ascii="Courier New" w:cs="Courier New" w:eastAsia="Courier New" w:hAnsi="Courier New"/>
          <w:color w:val="E2E8F0"/>
          <w:sz w:val="17"/>
          <w:szCs w:val="17"/>
        </w:rPr>
        <w:t xml:space="preserve">SESSION_SECRET=&lt;generar p. ej. con openssl rand -hex 32&gt;</w:t>
      </w:r>
      <w:r>
        <w:br/>
        <w:t xml:space="preserve"/>
      </w:r>
      <w:r>
        <w:rPr>
          <w:rFonts w:ascii="Courier New" w:cs="Courier New" w:eastAsia="Courier New" w:hAnsi="Courier New"/>
          <w:color w:val="E2E8F0"/>
          <w:sz w:val="17"/>
          <w:szCs w:val="17"/>
        </w:rPr>
        <w:t xml:space="preserve">LICENSE_SECRET=&lt;tu propio valor secreto&gt;</w:t>
      </w:r>
    </w:p>
    <w:p>
      <w:pPr>
        <w:pStyle w:val="ListParagraph"/>
        <w:numPr>
          <w:ilvl w:val="0"/>
          <w:numId w:val="3"/>
        </w:numPr>
        <w:spacing w:after="60"/>
      </w:pPr>
      <w:r>
        <w:rPr>
          <w:color w:val="1E293B"/>
          <w:sz w:val="20"/>
          <w:szCs w:val="20"/>
        </w:rPr>
        <w:t xml:space="preserve">Construir e iniciar los contenedores:</w:t>
      </w:r>
    </w:p>
    <w:p>
      <w:pPr>
        <w:shd w:fill="0F172A" w:val="clear"/>
        <w:spacing w:after="140"/>
      </w:pPr>
      <w:r>
        <w:rPr>
          <w:rFonts w:ascii="Courier New" w:cs="Courier New" w:eastAsia="Courier New" w:hAnsi="Courier New"/>
          <w:color w:val="E2E8F0"/>
          <w:sz w:val="17"/>
          <w:szCs w:val="17"/>
        </w:rPr>
        <w:t xml:space="preserve">sudo docker compose up -d --build</w:t>
      </w:r>
    </w:p>
    <w:p>
      <w:pPr>
        <w:pStyle w:val="ListParagraph"/>
        <w:numPr>
          <w:ilvl w:val="0"/>
          <w:numId w:val="3"/>
        </w:numPr>
        <w:spacing w:after="60"/>
      </w:pPr>
      <w:r>
        <w:rPr>
          <w:color w:val="1E293B"/>
          <w:sz w:val="20"/>
          <w:szCs w:val="20"/>
        </w:rPr>
        <w:t xml:space="preserve">A continuación, AuraChat estará disponible en http://&lt;IP-del-servidor&gt;:8091.</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Nunca compartas SESSION_SECRET y LICENSE_SECRET ni los subas a un repositorio público. LICENSE_SECRET debe coincidir con el valor del proyecto de servidor de licencias independiente, si se utiliza.</w:t>
      </w:r>
    </w:p>
    <w:p>
      <w:pPr>
        <w:pStyle w:val="Heading1"/>
        <w:pBdr>
          <w:bottom w:val="single" w:color="2563EB" w:sz="8" w:space="4"/>
        </w:pBdr>
        <w:spacing w:after="160" w:before="380"/>
      </w:pPr>
      <w:r>
        <w:rPr>
          <w:b/>
          <w:bCs/>
          <w:color w:val="0F172A"/>
          <w:sz w:val="26"/>
          <w:szCs w:val="26"/>
        </w:rPr>
        <w:t xml:space="preserve">3. Configuración inicial</w:t>
      </w:r>
    </w:p>
    <w:p>
      <w:pPr>
        <w:spacing w:after="120"/>
      </w:pPr>
      <w:r>
        <w:rPr>
          <w:color w:val="1E293B"/>
          <w:sz w:val="20"/>
          <w:szCs w:val="20"/>
        </w:rPr>
        <w:t xml:space="preserve">El nombre de usuario "admin" está fijado permanentemente como administrador (independientemente de la base de datos). Si al primer inicio aún no existe dicha cuenta, se crea automáticamente una con la contraseña "admin".</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Por favor, cambia la contraseña de la cuenta admin inmediatamente después del primer inicio de sesión (Menú → Contraseña).</w:t>
      </w:r>
    </w:p>
    <w:p>
      <w:pPr>
        <w:spacing w:after="120"/>
      </w:pPr>
      <w:r>
        <w:rPr>
          <w:color w:val="1E293B"/>
          <w:sz w:val="20"/>
          <w:szCs w:val="20"/>
        </w:rPr>
        <w:t xml:space="preserve">Durante 14 días desde el primer uso, todas las funciones Premium se desbloquean automáticamente en modo de prueba; después se aplican los límites de la licencia activa (véase la sección 6).</w:t>
      </w:r>
    </w:p>
    <w:p>
      <w:pPr>
        <w:pStyle w:val="Heading1"/>
        <w:pBdr>
          <w:bottom w:val="single" w:color="2563EB" w:sz="8" w:space="4"/>
        </w:pBdr>
        <w:spacing w:after="160" w:before="380"/>
      </w:pPr>
      <w:r>
        <w:rPr>
          <w:b/>
          <w:bCs/>
          <w:color w:val="0F172A"/>
          <w:sz w:val="26"/>
          <w:szCs w:val="26"/>
        </w:rPr>
        <w:t xml:space="preserve">4. Conectar un servidor de IA</w:t>
      </w:r>
    </w:p>
    <w:p>
      <w:pPr>
        <w:spacing w:after="120"/>
      </w:pPr>
      <w:r>
        <w:rPr>
          <w:color w:val="1E293B"/>
          <w:sz w:val="20"/>
          <w:szCs w:val="20"/>
        </w:rPr>
        <w:t xml:space="preserve">En Menú → Búsqueda de modelo y Servidor (visible solo para administradores) se configura el servidor de IA principal: plataforma (Ollama, LM Studio, llama.cpp, compatible con OpenAI u OpenAI Cloud), host/puerto o clave API, así como el modelo deseado.</w:t>
      </w:r>
    </w:p>
    <w:p>
      <w:pPr>
        <w:spacing w:after="120"/>
      </w:pPr>
      <w:r>
        <w:rPr>
          <w:color w:val="1E293B"/>
          <w:sz w:val="20"/>
          <w:szCs w:val="20"/>
        </w:rPr>
        <w:t xml:space="preserve">Opcionalmente, allí también se pueden configurar un modelo de programación independiente y un segundo modelo para la verificación de precisión (ambos Premium).</w:t>
      </w:r>
    </w:p>
    <w:p>
      <w:pPr>
        <w:pStyle w:val="Heading1"/>
        <w:pBdr>
          <w:bottom w:val="single" w:color="2563EB" w:sz="8" w:space="4"/>
        </w:pBdr>
        <w:spacing w:after="160" w:before="380"/>
      </w:pPr>
      <w:r>
        <w:rPr>
          <w:b/>
          <w:bCs/>
          <w:color w:val="0F172A"/>
          <w:sz w:val="26"/>
          <w:szCs w:val="26"/>
        </w:rPr>
        <w:t xml:space="preserve">5. Dominio y SSL</w:t>
      </w:r>
    </w:p>
    <w:p>
      <w:pPr>
        <w:spacing w:after="120"/>
      </w:pPr>
      <w:r>
        <w:rPr>
          <w:color w:val="1E293B"/>
          <w:sz w:val="20"/>
          <w:szCs w:val="20"/>
        </w:rPr>
        <w:t xml:space="preserve">En el panel de administración, bajo "SSL", puedes indicar tu propio dominio. AuraChat se encarga entonces automáticamente de emitir un certificado Let's Encrypt a través del proxy inverso Caddy incluido. Por defecto funciona directamente en los puertos 80/443 — de este modo la instalación es accesible sin número de puerto en la URL.</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El router debe reenviar los puertos externos 80 y 443 a los mismos puertos de la instalación; de lo contrario, la emisión del certificado fallará. Si 80/443 ya están en uso en el sistema de destino, los puertos pueden ajustarse en docker-compose.yml (redirigiendo en consecuencia internamente en el router).</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Después de introducir el dominio en el panel de administración, haz siempre clic en "Guardar", incluso si el dominio ya parece correcto — esto vuelve a activar la transmisión a Caddy. En caso de problemas: sudo docker logs aurachat-caddy muestra el motivo exacto por el que no se emite ningún certificado.</w:t>
      </w:r>
    </w:p>
    <w:p>
      <w:pPr>
        <w:pStyle w:val="Heading1"/>
        <w:pBdr>
          <w:bottom w:val="single" w:color="2563EB" w:sz="8" w:space="4"/>
        </w:pBdr>
        <w:spacing w:after="160" w:before="380"/>
      </w:pPr>
      <w:r>
        <w:rPr>
          <w:b/>
          <w:bCs/>
          <w:color w:val="0F172A"/>
          <w:sz w:val="26"/>
          <w:szCs w:val="26"/>
        </w:rPr>
        <w:t xml:space="preserve">6. Gestión de usuarios y licencias</w:t>
      </w:r>
    </w:p>
    <w:p>
      <w:pPr>
        <w:pStyle w:val="Heading2"/>
        <w:spacing w:after="100" w:before="220"/>
      </w:pPr>
      <w:r>
        <w:rPr>
          <w:b/>
          <w:bCs/>
          <w:color w:val="2563EB"/>
          <w:sz w:val="21"/>
          <w:szCs w:val="21"/>
        </w:rPr>
        <w:t xml:space="preserve">Varias cuentas de administrador</w:t>
      </w:r>
    </w:p>
    <w:p>
      <w:pPr>
        <w:spacing w:after="120"/>
      </w:pPr>
      <w:r>
        <w:rPr>
          <w:color w:val="1E293B"/>
          <w:sz w:val="20"/>
          <w:szCs w:val="20"/>
        </w:rPr>
        <w:t xml:space="preserve">En el panel de administración, bajo "Usuarios", se pueden crear nuevas cuentas. El interruptor "Debe convertirse en administrador" está disponible deliberadamente solo aquí — el autorregistro público nunca puede crear cuentas de administrador. Las cuentas de usuario existentes pueden ascenderse o degradarse posteriormente mediante los botones de la lista (excepto la cuenta fija "admin"). Cada persona de la lista muestra directamente una insignia de "Admin" o "Usuario".</w:t>
      </w:r>
    </w:p>
    <w:p>
      <w:pPr>
        <w:pStyle w:val="Heading2"/>
        <w:spacing w:after="100" w:before="220"/>
      </w:pPr>
      <w:r>
        <w:rPr>
          <w:b/>
          <w:bCs/>
          <w:color w:val="2563EB"/>
          <w:sz w:val="21"/>
          <w:szCs w:val="21"/>
        </w:rPr>
        <w:t xml:space="preserve">Uso de la licencia</w:t>
      </w:r>
    </w:p>
    <w:p>
      <w:pPr>
        <w:spacing w:after="120"/>
      </w:pPr>
      <w:r>
        <w:rPr>
          <w:color w:val="1E293B"/>
          <w:sz w:val="20"/>
          <w:szCs w:val="20"/>
        </w:rPr>
        <w:t xml:space="preserve">En la parte superior de la pestaña "Usuarios" así como de la pestaña "Licencia", una línea muestra el uso actual: cuántas plazas de usuario y administrador de la licencia ya están ocupadas (p. ej. "6 / 10 usuarios, 2 / 2 administradores").</w:t>
      </w:r>
    </w:p>
    <w:p>
      <w:pPr>
        <w:pStyle w:val="Heading2"/>
        <w:spacing w:after="100" w:before="220"/>
      </w:pPr>
      <w:r>
        <w:rPr>
          <w:b/>
          <w:bCs/>
          <w:color w:val="2563EB"/>
          <w:sz w:val="21"/>
          <w:szCs w:val="21"/>
        </w:rPr>
        <w:t xml:space="preserve">Activar una licencia</w:t>
      </w:r>
    </w:p>
    <w:p>
      <w:pPr>
        <w:spacing w:after="120"/>
      </w:pPr>
      <w:r>
        <w:rPr>
          <w:color w:val="1E293B"/>
          <w:sz w:val="20"/>
          <w:szCs w:val="20"/>
        </w:rPr>
        <w:t xml:space="preserve">En el panel de administración, bajo "Licencia", se introduce la clave de licencia recibida. Esta determina: qué funciones Premium están activas, una fecha de caducidad opcional, así como límites independientes para el número total de usuarios y administradores.</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Sin una licencia activa, se aplica una dotación básica gratuita de 3 usuarios y 1 administrador.</w:t>
      </w:r>
    </w:p>
    <w:p>
      <w:pPr>
        <w:pStyle w:val="Heading2"/>
        <w:spacing w:after="100" w:before="220"/>
      </w:pPr>
      <w:r>
        <w:rPr>
          <w:b/>
          <w:bCs/>
          <w:color w:val="2563EB"/>
          <w:sz w:val="21"/>
          <w:szCs w:val="21"/>
        </w:rPr>
        <w:t xml:space="preserve">Conexión al servidor de licencias (opcional)</w:t>
      </w:r>
    </w:p>
    <w:p>
      <w:pPr>
        <w:spacing w:after="120"/>
      </w:pPr>
      <w:r>
        <w:rPr>
          <w:color w:val="1E293B"/>
          <w:sz w:val="20"/>
          <w:szCs w:val="20"/>
        </w:rPr>
        <w:t xml:space="preserve">En la misma pestaña se puede introducir una dirección de servidor de licencias (solo dominio/IP, sin "http://" y sin puerto — el puerto fijo 8451 se añade automáticamente). Cada 12 horas, la instalación envía entonces una breve señal (clave de licencia, número actual de usuarios, versión — sin contenido de chat) para que en el servidor de licencias sea visible que esta instalación está activa. "Enviar ahora" lo prueba inmediatamente.</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Deliberadamente desactivado por defecto (campo vacío). Quien active esto debería informar de forma transparente a sus clientes en su propia documentación/política de privacidad.</w:t>
      </w:r>
    </w:p>
    <w:p>
      <w:pPr>
        <w:pStyle w:val="Heading1"/>
        <w:pBdr>
          <w:bottom w:val="single" w:color="2563EB" w:sz="8" w:space="4"/>
        </w:pBdr>
        <w:spacing w:after="160" w:before="380"/>
      </w:pPr>
      <w:r>
        <w:rPr>
          <w:b/>
          <w:bCs/>
          <w:color w:val="0F172A"/>
          <w:sz w:val="26"/>
          <w:szCs w:val="26"/>
        </w:rPr>
        <w:t xml:space="preserve">7. Marca personalizada</w:t>
      </w:r>
    </w:p>
    <w:p>
      <w:pPr>
        <w:spacing w:after="120"/>
      </w:pPr>
      <w:r>
        <w:rPr>
          <w:color w:val="1E293B"/>
          <w:sz w:val="20"/>
          <w:szCs w:val="20"/>
        </w:rPr>
        <w:t xml:space="preserve">Función Premium "rebrand", pensada para revendedores que deseen ofrecer el producto bajo su propio nombre. En el panel de administración, bajo "SSL" → "Marca personalizada", se pueden subir un logotipo propio (ancho, para la cabecera) y un icono propio (cuadrado, para favicon e inicio de sesión) (PNG, JPG o SVG).</w:t>
      </w:r>
    </w:p>
    <w:p>
      <w:pPr>
        <w:spacing w:after="120"/>
      </w:pPr>
      <w:r>
        <w:rPr>
          <w:color w:val="1E293B"/>
          <w:sz w:val="20"/>
          <w:szCs w:val="20"/>
        </w:rPr>
        <w:t xml:space="preserve">Surte efecto inmediatamente en todas partes: cabecera, pantalla de inicio de sesión, favicon del navegador, notificaciones del navegador, así como en todos los PDF generados (exportación de chat, diario de aprendizaje). "Restablecer" elimina de nuevo el logotipo propio y vuelve al estándar de AuraChat — posible en cualquier momento, incluso sin licencia activa.</w:t>
      </w:r>
    </w:p>
    <w:p>
      <w:pPr>
        <w:pStyle w:val="Heading1"/>
        <w:pBdr>
          <w:bottom w:val="single" w:color="2563EB" w:sz="8" w:space="4"/>
        </w:pBdr>
        <w:spacing w:after="160" w:before="380"/>
      </w:pPr>
      <w:r>
        <w:rPr>
          <w:b/>
          <w:bCs/>
          <w:color w:val="0F172A"/>
          <w:sz w:val="26"/>
          <w:szCs w:val="26"/>
        </w:rPr>
        <w:t xml:space="preserve">8. Configurar integraciones</w:t>
      </w:r>
    </w:p>
    <w:p>
      <w:pPr>
        <w:pStyle w:val="Heading2"/>
        <w:spacing w:after="100" w:before="220"/>
      </w:pPr>
      <w:r>
        <w:rPr>
          <w:b/>
          <w:bCs/>
          <w:color w:val="2563EB"/>
          <w:sz w:val="21"/>
          <w:szCs w:val="21"/>
        </w:rPr>
        <w:t xml:space="preserve">Envío de correo (SMTP)</w:t>
      </w:r>
    </w:p>
    <w:p>
      <w:pPr>
        <w:spacing w:after="120"/>
      </w:pPr>
      <w:r>
        <w:rPr>
          <w:color w:val="1E293B"/>
          <w:sz w:val="20"/>
          <w:szCs w:val="20"/>
        </w:rPr>
        <w:t xml:space="preserve">Para correos del sistema (p. ej. nuevas credenciales de acceso), configurar en Panel de administración → Correo.</w:t>
      </w:r>
    </w:p>
    <w:p>
      <w:pPr>
        <w:pStyle w:val="Heading2"/>
        <w:spacing w:after="100" w:before="220"/>
      </w:pPr>
      <w:r>
        <w:rPr>
          <w:b/>
          <w:bCs/>
          <w:color w:val="2563EB"/>
          <w:sz w:val="21"/>
          <w:szCs w:val="21"/>
        </w:rPr>
        <w:t xml:space="preserve">Integración de correo personal</w:t>
      </w:r>
    </w:p>
    <w:p>
      <w:pPr>
        <w:spacing w:after="120"/>
      </w:pPr>
      <w:r>
        <w:rPr>
          <w:color w:val="1E293B"/>
          <w:sz w:val="20"/>
          <w:szCs w:val="20"/>
        </w:rPr>
        <w:t xml:space="preserve">Para Microsoft 365/Exchange: realizar una vez un registro de aplicación en tu propio tenant de Microsoft (Azure/Entra ID), luego introducir el ID de cliente y el secreto en Panel de administración → API. El URI de redirección exacto para ello se muestra allí directamente. Permisos de Graph necesarios (delegados): Mail.Read, Mail.ReadWrite, offline_access, así como Calendars.Read para los recordatorios de calendario (sección 9). IMAP no requiere configuración de administrador — cada persona lo configura ella misma para su propio buzón.</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Al crear el registro de la aplicación: la URL de retorno va en el campo "URI de redirección" (elegir la plataforma "Web"), NO en el campo "Nombre" — este último es solo un nombre para mostrar de libre elección.</w:t>
      </w:r>
    </w:p>
    <w:p>
      <w:pPr>
        <w:pStyle w:val="Heading2"/>
        <w:spacing w:after="100" w:before="220"/>
      </w:pPr>
      <w:r>
        <w:rPr>
          <w:b/>
          <w:bCs/>
          <w:color w:val="2563EB"/>
          <w:sz w:val="21"/>
          <w:szCs w:val="21"/>
        </w:rPr>
        <w:t xml:space="preserve">Domótica y Sonos</w:t>
      </w:r>
    </w:p>
    <w:p>
      <w:pPr>
        <w:spacing w:after="120"/>
      </w:pPr>
      <w:r>
        <w:rPr>
          <w:color w:val="1E293B"/>
          <w:sz w:val="20"/>
          <w:szCs w:val="20"/>
        </w:rPr>
        <w:t xml:space="preserve">En Panel de administración → API se pueden configurar integraciones de dispositivos (p. ej. IKEA Dirigera, Sonos), así como un servidor de generación de imágenes. Los altavoces Sonos también se pueden usar para anuncios: en el chat, p. ej. "Anuncio en Salón: la comida está lista" — AuraChat recuerda el estado actual, reproduce el anuncio hablado y luego reanuda la música en el mismo punto. Para ello, debe configurarse una "Dirección de servidor local" en Panel de administración → API, mediante la cual los altavoces puedan alcanzar a AuraChat en la red (p. ej. http://10.0.55.251:8092 — la IP/dominio real, no "localhost").</w:t>
      </w:r>
    </w:p>
    <w:p>
      <w:pPr>
        <w:pStyle w:val="Heading2"/>
        <w:spacing w:after="100" w:before="220"/>
      </w:pPr>
      <w:r>
        <w:rPr>
          <w:b/>
          <w:bCs/>
          <w:color w:val="2563EB"/>
          <w:sz w:val="21"/>
          <w:szCs w:val="21"/>
        </w:rPr>
        <w:t xml:space="preserve">Dispositivos HTTP personalizados (p. ej. Raspberry Pi)</w:t>
      </w:r>
    </w:p>
    <w:p>
      <w:pPr>
        <w:spacing w:after="120"/>
      </w:pPr>
      <w:r>
        <w:rPr>
          <w:color w:val="1E293B"/>
          <w:sz w:val="20"/>
          <w:szCs w:val="20"/>
        </w:rPr>
        <w:t xml:space="preserve">A través de "🔗 Conectar tu propia aplicación/dispositivo" se puede conectar cualquier dispositivo casero con su propia interfaz HTTP — p. ej. una Raspberry Pi con un pequeño script para el control de servomotores o relés, un ESP32 con Tasmota, o tu propia app. Por dispositivo: nombre, URL base, opcionalmente una cabecera de autenticación, así como cualquier número de comandos (frase disparadora en el chat → llamada HTTP).</w:t>
      </w:r>
    </w:p>
    <w:p>
      <w:pPr>
        <w:pStyle w:val="ListParagraph"/>
        <w:numPr>
          <w:ilvl w:val="0"/>
          <w:numId w:val="2"/>
        </w:numPr>
        <w:spacing w:after="60"/>
      </w:pPr>
      <w:r>
        <w:rPr>
          <w:color w:val="1E293B"/>
          <w:sz w:val="20"/>
          <w:szCs w:val="20"/>
        </w:rPr>
        <w:t xml:space="preserve">Un "{value}" en el cuerpo del comando se sustituye automáticamente por el primer número del mensaje — útil para ángulos/porcentajes/niveles (p. ej. "poner el servo a 90 grados")</w:t>
      </w:r>
    </w:p>
    <w:p>
      <w:pPr>
        <w:pStyle w:val="ListParagraph"/>
        <w:numPr>
          <w:ilvl w:val="0"/>
          <w:numId w:val="2"/>
        </w:numPr>
        <w:spacing w:after="60"/>
      </w:pPr>
      <w:r>
        <w:rPr>
          <w:color w:val="1E293B"/>
          <w:sz w:val="20"/>
          <w:szCs w:val="20"/>
        </w:rPr>
        <w:t xml:space="preserve">Hay disponible bajo petición una plantilla de script lista para un servo de Raspberry Pi (servo_server.py, se ejecuta directamente en la Pi, no en Docker)</w:t>
      </w:r>
    </w:p>
    <w:p>
      <w:pPr>
        <w:pStyle w:val="Heading2"/>
        <w:spacing w:after="100" w:before="220"/>
      </w:pPr>
      <w:r>
        <w:rPr>
          <w:b/>
          <w:bCs/>
          <w:color w:val="2563EB"/>
          <w:sz w:val="21"/>
          <w:szCs w:val="21"/>
        </w:rPr>
        <w:t xml:space="preserve">Entrada/salida de voz (TTS/STT)</w:t>
      </w:r>
    </w:p>
    <w:p>
      <w:pPr>
        <w:spacing w:after="120"/>
      </w:pPr>
      <w:r>
        <w:rPr>
          <w:color w:val="1E293B"/>
          <w:sz w:val="20"/>
          <w:szCs w:val="20"/>
        </w:rPr>
        <w:t xml:space="preserve">Se puede configurar un servidor propio en Panel de administración → TTS/STT. Los modelos también se pueden gestionar directamente allí: introducir un ID de modelo de Hugging Face y descargarlo, eliminar con un clic los modelos instalados (ahorra espacio de almacenamiento). El diccionario de pronunciación (sustitución de texto antes de la salida de voz) NO es deliberadamente exclusivo de administradores — cualquiera lo encuentra en Configuración → Idioma.</w:t>
      </w:r>
    </w:p>
    <w:p>
      <w:pPr>
        <w:pStyle w:val="Heading1"/>
        <w:pBdr>
          <w:bottom w:val="single" w:color="2563EB" w:sz="8" w:space="4"/>
        </w:pBdr>
        <w:spacing w:after="160" w:before="380"/>
      </w:pPr>
      <w:r>
        <w:rPr>
          <w:b/>
          <w:bCs/>
          <w:color w:val="0F172A"/>
          <w:sz w:val="26"/>
          <w:szCs w:val="26"/>
        </w:rPr>
        <w:t xml:space="preserve">9. Recordatorios de calendario</w:t>
      </w:r>
    </w:p>
    <w:p>
      <w:pPr>
        <w:spacing w:after="120"/>
      </w:pPr>
      <w:r>
        <w:rPr>
          <w:color w:val="1E293B"/>
          <w:sz w:val="20"/>
          <w:szCs w:val="20"/>
        </w:rPr>
        <w:t xml:space="preserve">Anuncia en voz alta y de forma autónoma las próximas citas del calendario de Microsoft 365 conectado — independientemente de los propios recordatorios emergentes de Outlook, a los que una aplicación web fundamentalmente no tiene acceso. Se puede activar por persona en Configuración → Idioma ("🗓️ Leer recordatorios de calendario"), incluyendo un tiempo de antelación ajustable en minutos. Requiere una conexión activa a Microsoft 365 (Menú → Correo) con el permiso Calendars.Read (véase la sección 8).</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Funciona puramente del lado del cliente mediante una comprobación cada 60 segundos, mientras la pestaña esté abierta — no es un servicio en segundo plano que anuncie citas incluso con el navegador cerrado.</w:t>
      </w:r>
    </w:p>
    <w:p>
      <w:pPr>
        <w:pStyle w:val="Heading1"/>
        <w:pBdr>
          <w:bottom w:val="single" w:color="2563EB" w:sz="8" w:space="4"/>
        </w:pBdr>
        <w:spacing w:after="160" w:before="380"/>
      </w:pPr>
      <w:r>
        <w:rPr>
          <w:b/>
          <w:bCs/>
          <w:color w:val="0F172A"/>
          <w:sz w:val="26"/>
          <w:szCs w:val="26"/>
        </w:rPr>
        <w:t xml:space="preserve">10. Modo quiosco</w:t>
      </w:r>
    </w:p>
    <w:p>
      <w:pPr>
        <w:spacing w:after="120"/>
      </w:pPr>
      <w:r>
        <w:rPr>
          <w:color w:val="1E293B"/>
          <w:sz w:val="20"/>
          <w:szCs w:val="20"/>
        </w:rPr>
        <w:t xml:space="preserve">Una vista independiente y extremadamente reducida en /kiosk.html — solo el avatar a pantalla completa, micrófono y salida de voz, sin historial de chat, sin menú. Pensado, p. ej., para una tableta montada de forma permanente o como aplicación independiente en la pantalla de inicio (iOS: Safari → Compartir → "Añadir a pantalla de inicio" — se abre entonces a pantalla completa sin interfaz de navegador).</w:t>
      </w:r>
    </w:p>
    <w:p>
      <w:pPr>
        <w:pStyle w:val="Heading2"/>
        <w:spacing w:after="100" w:before="220"/>
      </w:pPr>
      <w:r>
        <w:rPr>
          <w:b/>
          <w:bCs/>
          <w:color w:val="2563EB"/>
          <w:sz w:val="21"/>
          <w:szCs w:val="21"/>
        </w:rPr>
        <w:t xml:space="preserve">Forzar por persona</w:t>
      </w:r>
    </w:p>
    <w:p>
      <w:pPr>
        <w:spacing w:after="120"/>
      </w:pPr>
      <w:r>
        <w:rPr>
          <w:color w:val="1E293B"/>
          <w:sz w:val="20"/>
          <w:szCs w:val="20"/>
        </w:rPr>
        <w:t xml:space="preserve">Panel de administración → Usuarios → botón 📱 junto a la persona correspondiente: a partir del siguiente inicio de sesión, esta persona llega automáticamente al modo quiosco, sin importar el dispositivo — útil para una cuenta infantil o una tableta de pared que nunca debe mostrar la interfaz completa.</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Vía de escape para administradores: en la vista de quiosco, arriba a la derecha, la discreta "✕" — lleva una vez de vuelta a la interfaz completa, sin redirigir inmediatamente de nuevo.</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Requiere la función Premium TTS/STT — sin un servidor de voz propio configurado, solo funciona la salida de voz (alternativa del navegador), no el reconocimiento de voz.</w:t>
      </w:r>
    </w:p>
    <w:p>
      <w:pPr>
        <w:pStyle w:val="Heading1"/>
        <w:pBdr>
          <w:bottom w:val="single" w:color="2563EB" w:sz="8" w:space="4"/>
        </w:pBdr>
        <w:spacing w:after="160" w:before="380"/>
      </w:pPr>
      <w:r>
        <w:rPr>
          <w:b/>
          <w:bCs/>
          <w:color w:val="0F172A"/>
          <w:sz w:val="26"/>
          <w:szCs w:val="26"/>
        </w:rPr>
        <w:t xml:space="preserve">11. Aura Academy</w:t>
      </w:r>
    </w:p>
    <w:p>
      <w:pPr>
        <w:spacing w:after="120"/>
      </w:pPr>
      <w:r>
        <w:rPr>
          <w:color w:val="1E293B"/>
          <w:sz w:val="20"/>
          <w:szCs w:val="20"/>
        </w:rPr>
        <w:t xml:space="preserve">Reentrena automáticamente cada noche a la 1:00 un pequeño modelo de lenguaje abierto (0,5 mil millones de parámetros) con los datos de memoria acumulados de todos los usuarios. Se puede activar en Panel de administración → Aura Academy.</w:t>
      </w:r>
    </w:p>
    <w:p>
      <w:pPr>
        <w:pStyle w:val="ListParagraph"/>
        <w:numPr>
          <w:ilvl w:val="0"/>
          <w:numId w:val="2"/>
        </w:numPr>
        <w:spacing w:after="60"/>
      </w:pPr>
      <w:r>
        <w:rPr>
          <w:color w:val="1E293B"/>
          <w:sz w:val="20"/>
          <w:szCs w:val="20"/>
        </w:rPr>
        <w:t xml:space="preserve">Se ejecuta directamente dentro del contenedor backend, no se necesita ningún despliegue independiente</w:t>
      </w:r>
    </w:p>
    <w:p>
      <w:pPr>
        <w:pStyle w:val="ListParagraph"/>
        <w:numPr>
          <w:ilvl w:val="0"/>
          <w:numId w:val="2"/>
        </w:numPr>
        <w:spacing w:after="60"/>
      </w:pPr>
      <w:r>
        <w:rPr>
          <w:color w:val="1E293B"/>
          <w:sz w:val="20"/>
          <w:szCs w:val="20"/>
        </w:rPr>
        <w:t xml:space="preserve">El resultado se guarda como Aura-AI-05b.gguf en la carpeta models/</w:t>
      </w:r>
    </w:p>
    <w:p>
      <w:pPr>
        <w:pStyle w:val="ListParagraph"/>
        <w:numPr>
          <w:ilvl w:val="0"/>
          <w:numId w:val="2"/>
        </w:numPr>
        <w:spacing w:after="60"/>
      </w:pPr>
      <w:r>
        <w:rPr>
          <w:color w:val="1E293B"/>
          <w:sz w:val="20"/>
          <w:szCs w:val="20"/>
        </w:rPr>
        <w:t xml:space="preserve">"Entrenar ahora" activa una prueba inmediata en lugar de esperar hasta la 1:00</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Realistamente varias horas por ciclo solo con CPU. El modelo resultante no se usa automáticamente en el chat — es un proyecto paralelo que se puede cargar manualmente en tu propio servidor de IA (p. ej. Ollama) si es necesario.</w:t>
      </w:r>
    </w:p>
    <w:p>
      <w:pPr>
        <w:pStyle w:val="Heading1"/>
        <w:pBdr>
          <w:bottom w:val="single" w:color="2563EB" w:sz="8" w:space="4"/>
        </w:pBdr>
        <w:spacing w:after="160" w:before="380"/>
      </w:pPr>
      <w:r>
        <w:rPr>
          <w:b/>
          <w:bCs/>
          <w:color w:val="0F172A"/>
          <w:sz w:val="26"/>
          <w:szCs w:val="26"/>
        </w:rPr>
        <w:t xml:space="preserve">12. Copia de seguridad, actualización y mantenimiento</w:t>
      </w:r>
    </w:p>
    <w:p>
      <w:pPr>
        <w:pStyle w:val="Heading2"/>
        <w:spacing w:after="100" w:before="220"/>
      </w:pPr>
      <w:r>
        <w:rPr>
          <w:b/>
          <w:bCs/>
          <w:color w:val="2563EB"/>
          <w:sz w:val="21"/>
          <w:szCs w:val="21"/>
        </w:rPr>
        <w:t xml:space="preserve">Copia de seguridad</w:t>
      </w:r>
    </w:p>
    <w:p>
      <w:pPr>
        <w:spacing w:after="120"/>
      </w:pPr>
      <w:r>
        <w:rPr>
          <w:color w:val="1E293B"/>
          <w:sz w:val="20"/>
          <w:szCs w:val="20"/>
        </w:rPr>
        <w:t xml:space="preserve">Panel de administración → "Copia de seguridad y actualización" → "Descargar copia de seguridad" genera un archivo .zip con la base de datos completa (usuarios, chats, configuración, memoria), así como tus propios certificados SSL. La base de datos se respalda mediante "VACUUM INTO" de SQLite — se puede usar de forma segura mientras la app sigue funcionando, no es una copia de archivo en bruto. No incluido: la carpeta models/ (resultados de Aura Academy) — respaldar por separado como copia de carpeta si es necesario.</w:t>
      </w:r>
    </w:p>
    <w:p>
      <w:pPr>
        <w:pStyle w:val="Heading2"/>
        <w:spacing w:after="100" w:before="220"/>
      </w:pPr>
      <w:r>
        <w:rPr>
          <w:b/>
          <w:bCs/>
          <w:color w:val="2563EB"/>
          <w:sz w:val="21"/>
          <w:szCs w:val="21"/>
        </w:rPr>
        <w:t xml:space="preserve">Restauración</w:t>
      </w:r>
    </w:p>
    <w:p>
      <w:pPr>
        <w:spacing w:after="120"/>
      </w:pPr>
      <w:r>
        <w:rPr>
          <w:color w:val="1E293B"/>
          <w:sz w:val="20"/>
          <w:szCs w:val="20"/>
        </w:rPr>
        <w:t xml:space="preserve">Un archivo de copia de seguridad generado previamente se puede volver a subir en la misma pestaña. Sustituye toda la base de datos actual; el servidor se reinicia entonces automáticamente (Docker lo vuelve a levantar gracias a "restart: unless-stopped").</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No se puede deshacer. En caso de duda, crea tú mismo previamente una copia de seguridad fresca del estado actual.</w:t>
      </w:r>
    </w:p>
    <w:p>
      <w:pPr>
        <w:pStyle w:val="Heading2"/>
        <w:spacing w:after="100" w:before="220"/>
      </w:pPr>
      <w:r>
        <w:rPr>
          <w:b/>
          <w:bCs/>
          <w:color w:val="2563EB"/>
          <w:sz w:val="21"/>
          <w:szCs w:val="21"/>
        </w:rPr>
        <w:t xml:space="preserve">Autoactualización</w:t>
      </w:r>
    </w:p>
    <w:p>
      <w:pPr>
        <w:spacing w:after="120"/>
      </w:pPr>
      <w:r>
        <w:rPr>
          <w:color w:val="1E293B"/>
          <w:sz w:val="20"/>
          <w:szCs w:val="20"/>
        </w:rPr>
        <w:t xml:space="preserve">La misma pestaña también acepta paquetes de actualización (el mismo formato .zip que para la extracción manual: server.js, html/index.html, html/js/app.js, html/css/style.css). Antes de aplicarlo, cada archivo .js se comprueba en busca de errores de sintaxis y se crea una copia de seguridad automática de los archivos actualmente en ejecución. Si server.js cambia, el servidor se reinicia brevemente después.</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Las actualizaciones que requieren nuevas dependencias de npm (p. ej. una futura actualización que necesite un nuevo paquete) se detectan pero NO se aplican automáticamente — package.json se omite entonces y aparece un aviso para aplicar la actualización manualmente de la forma clásica en su lugar (véase más abajo).</w:t>
      </w:r>
    </w:p>
    <w:p>
      <w:pPr>
        <w:pStyle w:val="Heading2"/>
        <w:spacing w:after="100" w:before="220"/>
      </w:pPr>
      <w:r>
        <w:rPr>
          <w:b/>
          <w:bCs/>
          <w:color w:val="2563EB"/>
          <w:sz w:val="21"/>
          <w:szCs w:val="21"/>
        </w:rPr>
        <w:t xml:space="preserve">Aplicación manual de una actualización</w:t>
      </w:r>
    </w:p>
    <w:p>
      <w:pPr>
        <w:shd w:fill="0F172A" w:val="clear"/>
        <w:spacing w:after="140"/>
      </w:pPr>
      <w:r>
        <w:rPr>
          <w:rFonts w:ascii="Courier New" w:cs="Courier New" w:eastAsia="Courier New" w:hAnsi="Courier New"/>
          <w:color w:val="E2E8F0"/>
          <w:sz w:val="17"/>
          <w:szCs w:val="17"/>
        </w:rPr>
        <w:t xml:space="preserve">sudo docker compose down</w:t>
      </w:r>
      <w:r>
        <w:br/>
        <w:t xml:space="preserve"/>
      </w:r>
      <w:r>
        <w:rPr>
          <w:rFonts w:ascii="Courier New" w:cs="Courier New" w:eastAsia="Courier New" w:hAnsi="Courier New"/>
          <w:color w:val="E2E8F0"/>
          <w:sz w:val="17"/>
          <w:szCs w:val="17"/>
        </w:rPr>
        <w:t xml:space="preserve">sudo docker compose up -d --build   # volver a ejecutar después de cada actualización extraída manualmente</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Siempre primero "down", luego "up -d --build" — un simple "up" sin un "down" previo puede hacer que contenedores antiguos (con configuraciones antiguas, como asignaciones de puertos) sigan funcionando.</w:t>
      </w:r>
    </w:p>
    <w:p>
      <w:pPr>
        <w:pStyle w:val="Heading1"/>
        <w:pBdr>
          <w:bottom w:val="single" w:color="2563EB" w:sz="8" w:space="4"/>
        </w:pBdr>
        <w:spacing w:after="160" w:before="380"/>
      </w:pPr>
      <w:r>
        <w:rPr>
          <w:b/>
          <w:bCs/>
          <w:color w:val="0F172A"/>
          <w:sz w:val="26"/>
          <w:szCs w:val="26"/>
        </w:rPr>
        <w:t xml:space="preserve">13. Servidor de licencias: gestión de clientes, revendedores y check-in</w:t>
      </w:r>
    </w:p>
    <w:p>
      <w:pPr>
        <w:spacing w:after="120"/>
      </w:pPr>
      <w:r>
        <w:rPr>
          <w:color w:val="1E293B"/>
          <w:sz w:val="20"/>
          <w:szCs w:val="20"/>
        </w:rPr>
        <w:t xml:space="preserve">El proyecto independiente AuraChat-License aporta, además de la generación de licencias, una vista general de clientes.</w:t>
      </w:r>
    </w:p>
    <w:p>
      <w:pPr>
        <w:pStyle w:val="Heading2"/>
        <w:spacing w:after="100" w:before="220"/>
      </w:pPr>
      <w:r>
        <w:rPr>
          <w:b/>
          <w:bCs/>
          <w:color w:val="2563EB"/>
          <w:sz w:val="21"/>
          <w:szCs w:val="21"/>
        </w:rPr>
        <w:t xml:space="preserve">Clientes y costes</w:t>
      </w:r>
    </w:p>
    <w:p>
      <w:pPr>
        <w:spacing w:after="120"/>
      </w:pPr>
      <w:r>
        <w:rPr>
          <w:color w:val="1E293B"/>
          <w:sz w:val="20"/>
          <w:szCs w:val="20"/>
        </w:rPr>
        <w:t xml:space="preserve">Al generar una licencia, adicionalmente se pueden registrar dirección, persona responsable, correo de contacto, así como precios por usuario/administrador y tipo de alojamiento (autoalojado/nube). En "👥 Clientes" aparece, por cada cliente, la licencia más reciente con un coste mensual estimado calculado a partir de ella, además de un resumen general (número de clientes, instalaciones activas, ingresos totales estimados).</w:t>
      </w:r>
    </w:p>
    <w:p>
      <w:pPr>
        <w:pBdr>
          <w:left w:val="single" w:color="2563EB" w:sz="16" w:space="8"/>
        </w:pBdr>
        <w:shd w:fill="EFF6FF" w:val="clear"/>
        <w:spacing w:after="140"/>
      </w:pPr>
      <w:r>
        <w:rPr>
          <w:b/>
          <w:bCs/>
          <w:color w:val="2563EB"/>
          <w:sz w:val="19"/>
          <w:szCs w:val="19"/>
        </w:rPr>
        <w:t xml:space="preserve">💡 Consejo: </w:t>
      </w:r>
      <w:r>
        <w:rPr>
          <w:color w:val="1E3A8A"/>
          <w:sz w:val="19"/>
          <w:szCs w:val="19"/>
        </w:rPr>
        <w:t xml:space="preserve">Los precios/direcciones son pura contabilidad en el servidor de licencias — NO están incrustados en la propia clave de licencia firmada que recibe cada instalación individual de AuraChat.</w:t>
      </w:r>
    </w:p>
    <w:p>
      <w:pPr>
        <w:pStyle w:val="Heading2"/>
        <w:spacing w:after="100" w:before="220"/>
      </w:pPr>
      <w:r>
        <w:rPr>
          <w:b/>
          <w:bCs/>
          <w:color w:val="2563EB"/>
          <w:sz w:val="21"/>
          <w:szCs w:val="21"/>
        </w:rPr>
        <w:t xml:space="preserve">Estado del check-in</w:t>
      </w:r>
    </w:p>
    <w:p>
      <w:pPr>
        <w:spacing w:after="120"/>
      </w:pPr>
      <w:r>
        <w:rPr>
          <w:color w:val="1E293B"/>
          <w:sz w:val="20"/>
          <w:szCs w:val="20"/>
        </w:rPr>
        <w:t xml:space="preserve">Si una instalación de AuraChat activa el check-in (véase la sección 6), aparece en la vista general de clientes con 🟢 (vista en las últimas 48h) o ⚪ (no vista desde hace más tiempo / nunca), incluyendo la marca de tiempo y el número de usuarios notificado.</w:t>
      </w:r>
    </w:p>
    <w:p>
      <w:pPr>
        <w:pStyle w:val="Heading2"/>
        <w:spacing w:after="100" w:before="220"/>
      </w:pPr>
      <w:r>
        <w:rPr>
          <w:b/>
          <w:bCs/>
          <w:color w:val="2563EB"/>
          <w:sz w:val="21"/>
          <w:szCs w:val="21"/>
        </w:rPr>
        <w:t xml:space="preserve">Portal de revendedores</w:t>
      </w:r>
    </w:p>
    <w:p>
      <w:pPr>
        <w:spacing w:after="120"/>
      </w:pPr>
      <w:r>
        <w:rPr>
          <w:color w:val="1E293B"/>
          <w:sz w:val="20"/>
          <w:szCs w:val="20"/>
        </w:rPr>
        <w:t xml:space="preserve">Un sistema de inicio de sesión independiente para revendedores, separado de tu propio acceso de superadministrador (usuario "admin"). En "🤝 Revendedores" (visible solo como superadministrador) se pueden crear cuentas de revendedor: nombre, nombre de usuario/contraseña propios, porcentaje de descuento individual, correo de contacto. Tras su propio inicio de sesión, un revendedor ve exclusivamente sus propios clientes finales/licencias — nunca los de otros revendedores ni tus propios clientes directos.</w:t>
      </w:r>
    </w:p>
    <w:p>
      <w:pPr>
        <w:pStyle w:val="ListParagraph"/>
        <w:numPr>
          <w:ilvl w:val="0"/>
          <w:numId w:val="2"/>
        </w:numPr>
        <w:spacing w:after="60"/>
      </w:pPr>
      <w:r>
        <w:rPr>
          <w:color w:val="1E293B"/>
          <w:sz w:val="20"/>
          <w:szCs w:val="20"/>
        </w:rPr>
        <w:t xml:space="preserve">Al generar una licencia, a un revendedor se le muestra su descuento como precio de referencia — el precio real del cliente final (los campos de precio del formulario) permanece libremente ajustable</w:t>
      </w:r>
    </w:p>
    <w:p>
      <w:pPr>
        <w:pStyle w:val="ListParagraph"/>
        <w:numPr>
          <w:ilvl w:val="0"/>
          <w:numId w:val="2"/>
        </w:numPr>
        <w:spacing w:after="60"/>
      </w:pPr>
      <w:r>
        <w:rPr>
          <w:color w:val="1E293B"/>
          <w:sz w:val="20"/>
          <w:szCs w:val="20"/>
        </w:rPr>
        <w:t xml:space="preserve">Restablecimiento de contraseña y desactivación de una cuenta de revendedor: también en "🤝 Revendedores", solo superadministrador</w:t>
      </w:r>
    </w:p>
    <w:p>
      <w:pPr>
        <w:pStyle w:val="ListParagraph"/>
        <w:numPr>
          <w:ilvl w:val="0"/>
          <w:numId w:val="2"/>
        </w:numPr>
        <w:spacing w:after="60"/>
      </w:pPr>
      <w:r>
        <w:rPr>
          <w:color w:val="1E293B"/>
          <w:sz w:val="20"/>
          <w:szCs w:val="20"/>
        </w:rPr>
        <w:t xml:space="preserve">Escala de descuentos justa como punto de partida: 20% sin pedido mínimo, 30% desde 10 licencias de clientes finales activas, 40% desde 25</w:t>
      </w:r>
    </w:p>
    <w:p>
      <w:pPr>
        <w:pBdr>
          <w:left w:val="single" w:color="DC2626" w:sz="16" w:space="8"/>
        </w:pBdr>
        <w:shd w:fill="FEF2F2" w:val="clear"/>
        <w:spacing w:after="140"/>
      </w:pPr>
      <w:r>
        <w:rPr>
          <w:b/>
          <w:bCs/>
          <w:color w:val="B91C1C"/>
          <w:sz w:val="19"/>
          <w:szCs w:val="19"/>
        </w:rPr>
        <w:t xml:space="preserve">⚠ Atención: </w:t>
      </w:r>
      <w:r>
        <w:rPr>
          <w:color w:val="7F1D1D"/>
          <w:sz w:val="19"/>
          <w:szCs w:val="19"/>
        </w:rPr>
        <w:t xml:space="preserve">La copia de seguridad/restauración y la propia gestión de revendedores quedan reservadas exclusivamente al superadministrador — un revendedor no puede ni ver a otros revendedores ni respaldar/restaurar la base de datos global.</w:t>
      </w:r>
    </w:p>
    <w:p>
      <w:pPr>
        <w:pStyle w:val="Heading2"/>
        <w:spacing w:after="100" w:before="220"/>
      </w:pPr>
      <w:r>
        <w:rPr>
          <w:b/>
          <w:bCs/>
          <w:color w:val="2563EB"/>
          <w:sz w:val="21"/>
          <w:szCs w:val="21"/>
        </w:rPr>
        <w:t xml:space="preserve">Editar clientes</w:t>
      </w:r>
    </w:p>
    <w:p>
      <w:pPr>
        <w:spacing w:after="120"/>
      </w:pPr>
      <w:r>
        <w:rPr>
          <w:color w:val="1E293B"/>
          <w:sz w:val="20"/>
          <w:szCs w:val="20"/>
        </w:rPr>
        <w:t xml:space="preserve">En "👥 Clientes", cada entrada tiene "✏️ Editar" — modifica posteriormente dirección/contacto/precios, sin regenerar la propia clave de licencia firmada. Para otras funciones/límites, seguir emitiendo una nueva licencia.</w:t>
      </w:r>
    </w:p>
    <w:p>
      <w:pPr>
        <w:pStyle w:val="Heading2"/>
        <w:spacing w:after="100" w:before="220"/>
      </w:pPr>
      <w:r>
        <w:rPr>
          <w:b/>
          <w:bCs/>
          <w:color w:val="2563EB"/>
          <w:sz w:val="21"/>
          <w:szCs w:val="21"/>
        </w:rPr>
        <w:t xml:space="preserve">Copia de seguridad</w:t>
      </w:r>
    </w:p>
    <w:p>
      <w:pPr>
        <w:spacing w:after="120"/>
      </w:pPr>
      <w:r>
        <w:rPr>
          <w:color w:val="1E293B"/>
          <w:sz w:val="20"/>
          <w:szCs w:val="20"/>
        </w:rPr>
        <w:t xml:space="preserve">De forma análoga a AuraChat mismo: en la parte inferior de la página principal del servidor de licencias se puede descargar y, si es necesario, restaurar una copia de seguridad de todas las licencias emitidas Y de las cuentas de revendedor.</w:t>
      </w:r>
    </w:p>
    <w:p>
      <w:pPr>
        <w:pStyle w:val="Heading1"/>
        <w:pBdr>
          <w:bottom w:val="single" w:color="2563EB" w:sz="8" w:space="4"/>
        </w:pBdr>
        <w:spacing w:after="160" w:before="380"/>
      </w:pPr>
      <w:r>
        <w:rPr>
          <w:b/>
          <w:bCs/>
          <w:color w:val="0F172A"/>
          <w:sz w:val="26"/>
          <w:szCs w:val="26"/>
        </w:rPr>
        <w:t xml:space="preserve">14. Problemas conocidos</w:t>
      </w:r>
    </w:p>
    <w:p>
      <w:pPr>
        <w:pStyle w:val="Heading2"/>
        <w:spacing w:after="100" w:before="220"/>
      </w:pPr>
      <w:r>
        <w:rPr>
          <w:b/>
          <w:bCs/>
          <w:color w:val="2563EB"/>
          <w:sz w:val="21"/>
          <w:szCs w:val="21"/>
        </w:rPr>
        <w:t xml:space="preserve">Los cambios no llegan al navegador</w:t>
      </w:r>
    </w:p>
    <w:p>
      <w:pPr>
        <w:spacing w:after="120"/>
      </w:pPr>
      <w:r>
        <w:rPr>
          <w:color w:val="1E293B"/>
          <w:sz w:val="20"/>
          <w:szCs w:val="20"/>
        </w:rPr>
        <w:t xml:space="preserve">Comprobar primero si realmente está en ejecución la versión más reciente: usar docker exec &lt;contenedor&gt; para acceder directamente al archivo afectado y compararlo con la versión entregada (p. ej. mediante grep -c sobre un texto característico). Causa más frecuente: Docker Compose asocia los contenedores a la carpeta desde la que se iniciaron — un docker compose down desde otra carpeta (p. ej. una subcarpeta) puede no alcanzar a los contenedores existentes.</w:t>
      </w:r>
    </w:p>
    <w:p>
      <w:pPr>
        <w:pStyle w:val="Heading2"/>
        <w:spacing w:after="100" w:before="220"/>
      </w:pPr>
      <w:r>
        <w:rPr>
          <w:b/>
          <w:bCs/>
          <w:color w:val="2563EB"/>
          <w:sz w:val="21"/>
          <w:szCs w:val="21"/>
        </w:rPr>
        <w:t xml:space="preserve">Al extraer una actualización no se sobrescribe realmente</w:t>
      </w:r>
    </w:p>
    <w:p>
      <w:pPr>
        <w:spacing w:after="120"/>
      </w:pPr>
      <w:r>
        <w:rPr>
          <w:color w:val="1E293B"/>
          <w:sz w:val="20"/>
          <w:szCs w:val="20"/>
        </w:rPr>
        <w:t xml:space="preserve">unzip sin -o pregunta individualmente por cada archivo existente, o lo omite silenciosamente. Usar siempre unzip -o. Como control antes de extraer, comparar la suma de comprobación del archivo descargado (md5sum) con la proporcionada — esto descarta que se haya usado accidentalmente un archivo más antiguo con el mismo nombre.</w:t>
      </w:r>
    </w:p>
    <w:p>
      <w:pPr>
        <w:pStyle w:val="Heading2"/>
        <w:spacing w:after="100" w:before="220"/>
      </w:pPr>
      <w:r>
        <w:rPr>
          <w:b/>
          <w:bCs/>
          <w:color w:val="2563EB"/>
          <w:sz w:val="21"/>
          <w:szCs w:val="21"/>
        </w:rPr>
        <w:t xml:space="preserve">Nombre del servicio Docker vs. nombre del contenedor</w:t>
      </w:r>
    </w:p>
    <w:p>
      <w:pPr>
        <w:spacing w:after="120"/>
      </w:pPr>
      <w:r>
        <w:rPr>
          <w:color w:val="1E293B"/>
          <w:sz w:val="20"/>
          <w:szCs w:val="20"/>
        </w:rPr>
        <w:t xml:space="preserve">sudo docker compose restart &lt;nombre&gt; necesita el nombre de SERVICIO de docker-compose.yml (p. ej. "backend"), no el container_name (p. ej. "aurachat-backend") — ambos se nombran deliberadamente de forma diferente. sudo docker ps muestra los nombres de contenedor reales.</w:t>
      </w:r>
    </w:p>
    <w:p>
      <w:pPr>
        <w:pStyle w:val="Heading2"/>
        <w:spacing w:after="100" w:before="220"/>
      </w:pPr>
      <w:r>
        <w:rPr>
          <w:b/>
          <w:bCs/>
          <w:color w:val="2563EB"/>
          <w:sz w:val="21"/>
          <w:szCs w:val="21"/>
        </w:rPr>
        <w:t xml:space="preserve">Contenedores huérfanos</w:t>
      </w:r>
    </w:p>
    <w:p>
      <w:pPr>
        <w:spacing w:after="120"/>
      </w:pPr>
      <w:r>
        <w:rPr>
          <w:color w:val="1E293B"/>
          <w:sz w:val="20"/>
          <w:szCs w:val="20"/>
        </w:rPr>
        <w:t xml:space="preserve">sudo docker ps -a muestra realmente todos los contenedores en el host, independientemente de la carpeta de inicio. Los contenedores que ya no se necesitan se pueden eliminar directamente por nombre: sudo docker stop &lt;nombre&gt; &amp;&amp; sudo docker rm &lt;nombre&gt;.</w:t>
      </w:r>
    </w:p>
    <w:p>
      <w:pPr>
        <w:pStyle w:val="Heading2"/>
        <w:spacing w:after="100" w:before="220"/>
      </w:pPr>
      <w:r>
        <w:rPr>
          <w:b/>
          <w:bCs/>
          <w:color w:val="2563EB"/>
          <w:sz w:val="21"/>
          <w:szCs w:val="21"/>
        </w:rPr>
        <w:t xml:space="preserve">Problemas de permisos en VM con remapeo de espacio de nombres de usuario</w:t>
      </w:r>
    </w:p>
    <w:p>
      <w:pPr>
        <w:spacing w:after="120"/>
      </w:pPr>
      <w:r>
        <w:rPr>
          <w:color w:val="1E293B"/>
          <w:sz w:val="20"/>
          <w:szCs w:val="20"/>
        </w:rPr>
        <w:t xml:space="preserve">En algunos entornos virtualizados (p. ej. contenedores LXD/Incus con mapeo de espacio de nombres de usuario activado), "root" dentro del contenedor Docker se ejecuta en realidad bajo un UID diferente, no privilegiado, en el host real. Esto se manifiesta, p. ej., como "SQLITE_READONLY: attempt to write a readonly database", aunque la carpeta data/ parezca tener permisos correctos. Solución: sudo chmod -R 777 data/ models/ (generoso, pero fiable) y luego reiniciar el contenedor afectado.</w:t>
      </w:r>
    </w:p>
    <w:p>
      <w:pPr>
        <w:pStyle w:val="Heading2"/>
        <w:spacing w:after="100" w:before="220"/>
      </w:pPr>
      <w:r>
        <w:rPr>
          <w:b/>
          <w:bCs/>
          <w:color w:val="2563EB"/>
          <w:sz w:val="21"/>
          <w:szCs w:val="21"/>
        </w:rPr>
        <w:t xml:space="preserve">Dominio/HTTPS: "server is listening only on the HTTP port"</w:t>
      </w:r>
    </w:p>
    <w:p>
      <w:pPr>
        <w:spacing w:after="120"/>
      </w:pPr>
      <w:r>
        <w:rPr>
          <w:color w:val="1E293B"/>
          <w:sz w:val="20"/>
          <w:szCs w:val="20"/>
        </w:rPr>
        <w:t xml:space="preserve">Este mensaje en sudo docker logs aurachat-caddy significa que Caddy todavía está usando la configuración de reserva solo HTTP integrada, no la específica del dominio con HTTPS automático. Normalmente ayuda: volver a introducir el dominio en el panel de administración y hacer clic de nuevo en "Guardar" (esto reactiva una nueva transmisión a Caddy), y luego comprobar inmediatamente después sudo docker logs aurachat-backend.</w:t>
      </w:r>
    </w:p>
    <w:p>
      <w:pPr>
        <w:pStyle w:val="Heading2"/>
        <w:spacing w:after="100" w:before="220"/>
      </w:pPr>
      <w:r>
        <w:rPr>
          <w:b/>
          <w:bCs/>
          <w:color w:val="2563EB"/>
          <w:sz w:val="21"/>
          <w:szCs w:val="21"/>
        </w:rPr>
        <w:t xml:space="preserve">Caché de red</w:t>
      </w:r>
    </w:p>
    <w:p>
      <w:pPr>
        <w:spacing w:after="120"/>
      </w:pPr>
      <w:r>
        <w:rPr>
          <w:color w:val="1E293B"/>
          <w:sz w:val="20"/>
          <w:szCs w:val="20"/>
        </w:rPr>
        <w:t xml:space="preserve">Los cortafuegos con función de caché web/proxy (p. ej. "Web content caching" de Sophos) pueden dar la impresión de estados "antiguos" durante el desarrollo activo, aunque el servidor se haya actualizado correctamente. En caso de duda: comprobar de forma directa en el propio servidor mediante curl localhost si el servidor realmente está sirviendo el estado actual.</w:t>
      </w:r>
    </w:p>
    <w:p>
      <w:pPr>
        <w:pStyle w:val="Heading2"/>
        <w:spacing w:after="100" w:before="220"/>
      </w:pPr>
      <w:r>
        <w:rPr>
          <w:b/>
          <w:bCs/>
          <w:color w:val="2563EB"/>
          <w:sz w:val="21"/>
          <w:szCs w:val="21"/>
        </w:rPr>
        <w:t xml:space="preserve">Aura Academy y Alpine Linux</w:t>
      </w:r>
    </w:p>
    <w:p>
      <w:pPr>
        <w:spacing w:after="120"/>
      </w:pPr>
      <w:r>
        <w:rPr>
          <w:color w:val="1E293B"/>
          <w:sz w:val="20"/>
          <w:szCs w:val="20"/>
        </w:rPr>
        <w:t xml:space="preserve">El contenedor backend se ejecuta deliberadamente en una imagen de Node basada en Debian (no Alpine) — PyTorch no ofrece paquetes preparados para la biblioteca musl utilizada en Alpine.</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Página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Manual de administración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2026-09-22T20:29:27.742Z</dcterms:created>
  <dcterms:modified xsi:type="dcterms:W3CDTF">2026-09-22T20:29:27.742Z</dcterms:modified>
</cp:coreProperties>
</file>

<file path=docProps/custom.xml><?xml version="1.0" encoding="utf-8"?>
<Properties xmlns="http://schemas.openxmlformats.org/officeDocument/2006/custom-properties" xmlns:vt="http://schemas.openxmlformats.org/officeDocument/2006/docPropsVTypes"/>
</file>