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ackground w:color="0B1220"/>
  <w:body>
    <w:p>
      <w:pPr>
        <w:spacing w:after="200"/>
      </w:pPr>
      <w:r>
        <w:drawing>
          <wp:inline distT="0" distB="0" distL="0" distR="0">
            <wp:extent cx="2857500" cy="6858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85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</w:pPr>
      <w:r>
        <w:rPr>
          <w:b/>
          <w:bCs/>
          <w:i/>
          <w:iCs/>
          <w:color w:val="1ED2FC"/>
          <w:sz w:val="23"/>
          <w:szCs w:val="23"/>
        </w:rPr>
        <w:t xml:space="preserve">El asistente de IA para tu empresa — con rostro propio, voz propia y memoria propia.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2400"/>
        <w:gridCol w:w="7240"/>
      </w:tblGrid>
      <w:tr>
        <w:tc>
          <w:tcPr>
            <w:tcW w:type="pct" w:w="25%"/>
          </w:tcPr>
          <w:p>
            <w:pPr>
              <w:pBdr>
                <w:top w:val="single" w:color="3270FD" w:sz="12"/>
                <w:bottom w:val="single" w:color="3270FD" w:sz="12"/>
                <w:left w:val="single" w:color="3270FD" w:sz="12"/>
                <w:right w:val="single" w:color="3270FD" w:sz="12"/>
              </w:pBdr>
            </w:pPr>
            <w:r>
              <w:drawing>
                <wp:inline distT="0" distB="0" distL="0" distR="0">
                  <wp:extent cx="1428750" cy="2543175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28750" cy="2543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75%"/>
            <w:tcMar>
              <w:left w:type="dxa" w:w="220"/>
            </w:tcMar>
            <w:vAlign w:val="center"/>
          </w:tcPr>
          <w:p>
            <w:pPr>
              <w:spacing w:after="60"/>
            </w:pPr>
            <w:r>
              <w:rPr>
                <w:b/>
                <w:bCs/>
                <w:color w:val="F8FAFC"/>
                <w:sz w:val="22"/>
                <w:szCs w:val="22"/>
              </w:rPr>
              <w:t xml:space="preserve">Esta es Aura.</w:t>
            </w:r>
          </w:p>
          <w:p>
            <w:pPr>
              <w:spacing w:after="100"/>
            </w:pPr>
            <w:r>
              <w:rPr>
                <w:color w:val="CBD5E1"/>
                <w:sz w:val="20"/>
                <w:szCs w:val="20"/>
              </w:rPr>
              <w:t xml:space="preserve">Aura tiene un rostro, una voz y una memoria que crece con cada conversación. Funciona completamente sobre tu propia infraestructura — tus datos, tu control, sin terceros mirando por encima de tu hombro.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Resumen de funciones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4820"/>
        <w:gridCol w:w="4820"/>
      </w:tblGrid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💬  Chat e IA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Conexión a cualquier servidor de IA: Ollama, LM Studio, llama.cpp, compatible con OpenAI o OpenAI Cloud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Búsqueda web integrada directamente en el chat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Segundo modelo para verificación automática de precisión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Modelo de programación independiente para consultas de desarrolladores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Reconocimiento de imágenes por webcam, incluido modo de explicación de tareas escolares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🎭  Avatar y Voz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Avatar de vídeo parlante, 5 personajes predeterminados incluidos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Carga de avatares propios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Entrada y salida de voz (TTS/STT, 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Activación por voz manos libres "Hey Aura"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Modo de voz a pantalla completa dedicado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🧠  Memoria y Personalidad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Recuerda automáticamente datos relevantes de las conversaciones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Personalidad personalizable por cuenta de usuario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Resumen diario con una breve retroalimentación (opcional)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Aura Academy: tu propio modelo de IA, entrenado con tus datos (nivel más alto)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📎  Productividad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Espacio de trabajo: tus propios documentos como contexto del chat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Exportación de chats como PDF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Diario de aprendizaje generado automáticamente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Generador de cuestionarios a partir de cualquier historial de chat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Recordatorios y temporizadores configurables con solo pedirlo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Generación de imágenes con IA (Premium)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🔌  Integraciones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Control de domótica (p. ej. IKEA Dirigera)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Control de Sonos, incluidos anuncios hablados en la habitación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Conexión HTTP genérica para dispositivos propios (Raspberry Pi, servomotores, relés, ESP32/Tasmota)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Citas del calendario de Microsoft 365 anunciadas en voz alta, justo a tiempo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Correo electrónico: IMAP o Microsoft 365/Exchange, incluidas respuestas redactadas por IA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API abierta para plataformas externas (Premium)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🛠️  Administración y Seguridad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Varias cuentas de administrador con permisos granulares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Certificado SSL automático para tu propio dominio, puertos estándar 80/443 (Premium)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Autenticación de dos factores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Política de privacidad personalizable y con control de versiones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Panel de licencias y uso totalmente consultable</w:t>
            </w:r>
          </w:p>
        </w:tc>
      </w:tr>
      <w:tr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💾  Operación y Mantenimiento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Copia de seguridad con un clic (base de datos, certificados) para descargar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Restauración de copias de seguridad directamente desde el panel de administración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Autoactualización mediante carga de archivo, con verificación sintáctica automática y copia de seguridad antes de cada cambio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Señal de conexión opcional al servidor de licencias (instalaciones activas visibles)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Modo quiosco: solo Aura a pantalla completa, instalable como una aplicación — configurable de forma obligatoria por persona</w:t>
            </w:r>
          </w:p>
        </w:tc>
        <w:tc>
          <w:tcPr>
            <w:tcW w:type="pct" w:w="5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60"/>
              <w:left w:type="dxa" w:w="180"/>
              <w:bottom w:type="dxa" w:w="160"/>
              <w:right w:type="dxa" w:w="180"/>
            </w:tcMar>
          </w:tcPr>
          <w:p>
            <w:pPr>
              <w:spacing w:after="80"/>
            </w:pPr>
            <w:r>
              <w:rPr>
                <w:b/>
                <w:bCs/>
                <w:color w:val="1ED2FC"/>
                <w:sz w:val="20"/>
                <w:szCs w:val="20"/>
              </w:rPr>
              <w:t xml:space="preserve">🏷️  Marca blanca y Reventa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Tu propio logotipo e icono en lugar de la marca AuraChat (nivel más alto)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Aplicado en todas partes: cabecera, inicio de sesión, favicon, exportaciones PDF, notificaciones</w:t>
            </w:r>
          </w:p>
          <w:p>
            <w:pPr>
              <w:pStyle w:val="ListParagraph"/>
              <w:numPr>
                <w:ilvl w:val="0"/>
                <w:numId w:val="2"/>
              </w:numPr>
              <w:spacing w:after="60"/>
            </w:pPr>
            <w:r>
              <w:rPr>
                <w:color w:val="CBD5E1"/>
                <w:sz w:val="18"/>
                <w:szCs w:val="18"/>
              </w:rPr>
              <w:t xml:space="preserve">Portal de revendedores integrado: inicios de sesión propios, niveles de descuento individuales, gestión de clientes propia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Modelo de licencias</w:t>
      </w:r>
    </w:p>
    <w:p>
      <w:pPr>
        <w:spacing w:after="100"/>
      </w:pPr>
      <w:r>
        <w:rPr>
          <w:color w:val="CBD5E1"/>
          <w:sz w:val="20"/>
          <w:szCs w:val="20"/>
        </w:rPr>
        <w:t xml:space="preserve">El núcleo de AuraChat es de uso gratuito. Las funciones Premium se licencian por puesto — por separado para cuentas de usuario normales y cuentas de administrador.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729"/>
        <w:gridCol w:w="1922"/>
        <w:gridCol w:w="1922"/>
        <w:gridCol w:w="4037"/>
      </w:tblGrid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Nivel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por usuario/mes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por admin/mes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Alcance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Básico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gratis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gratis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Hasta 3 usuarios / 1 administrador. Chat, avatares predeterminados, memoria, personalidad, espacio de trabajo, cuestionarios, exportación de chat, widgets, recordatorios, integraciones básicas.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Pro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4.–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9.–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Todas las funciones Premium excepto Aura Academy: dominio/SSL propio, TTS/STT, avatares propios, generación de imágenes, modelo de programación, diario de aprendizaje, segundo modelo, integración de correo, acceso API, fondos de chat.</w:t>
            </w:r>
          </w:p>
        </w:tc>
      </w:tr>
      <w:tr>
        <w:tc>
          <w:tcPr>
            <w:tcW w:type="pct" w:w="18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1ED2FC"/>
                <w:sz w:val="18"/>
                <w:szCs w:val="18"/>
              </w:rPr>
              <w:t xml:space="preserve">Academy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7.–</w:t>
            </w:r>
          </w:p>
        </w:tc>
        <w:tc>
          <w:tcPr>
            <w:tcW w:type="pct" w:w="20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color w:val="E2E8F0"/>
                <w:sz w:val="18"/>
                <w:szCs w:val="18"/>
              </w:rPr>
              <w:t xml:space="preserve">CHF 15.–</w:t>
            </w:r>
          </w:p>
        </w:tc>
        <w:tc>
          <w:tcPr>
            <w:tcW w:type="pct" w:w="42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color w:val="E2E8F0"/>
                <w:sz w:val="18"/>
                <w:szCs w:val="18"/>
              </w:rPr>
              <w:t xml:space="preserve">Todo lo de Pro, además Aura Academy (tu propio modelo de IA, reentrenado continuamente) y marca propia (logotipo/icono) para presentarlo bajo tu propio nombre.</w:t>
            </w:r>
          </w:p>
        </w:tc>
      </w:tr>
    </w:tbl>
    <w:p>
      <w:pPr>
        <w:spacing w:after="0" w:before="120"/>
      </w:pPr>
      <w:r>
        <w:rPr>
          <w:i/>
          <w:iCs/>
          <w:color w:val="94A3B8"/>
          <w:sz w:val="15"/>
          <w:szCs w:val="15"/>
        </w:rPr>
        <w:t xml:space="preserve">Todos los precios son orientativos, sin IVA, y libremente adaptables. Los límites de usuarios y administradores se definen por clave de licencia.</w:t>
      </w:r>
    </w:p>
    <w:tbl>
      <w:tblPr>
        <w:tblW w:type="pct" w:w="100%"/>
        <w:tblBorders>
          <w:top w:val="none"/>
          <w:left w:val="none"/>
          <w:bottom w:val="none"/>
          <w:right w:val="none"/>
          <w:insideH w:val="none"/>
          <w:insideV w:val="none"/>
        </w:tblBorders>
      </w:tblPr>
      <w:tblGrid>
        <w:gridCol w:w="1500"/>
        <w:gridCol w:w="8140"/>
      </w:tblGrid>
      <w:tr>
        <w:tc>
          <w:tcPr>
            <w:tcW w:type="pct" w:w="15%"/>
          </w:tcPr>
          <w:p>
            <w:r>
              <w:drawing>
                <wp:inline distT="0" distB="0" distL="0" distR="0">
                  <wp:extent cx="857250" cy="8572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0" cy="8572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pct" w:w="85%"/>
            <w:tcMar>
              <w:left w:type="dxa" w:w="200"/>
            </w:tcMar>
            <w:vAlign w:val="center"/>
          </w:tcPr>
          <w:p>
            <w:pPr>
              <w:spacing w:after="100"/>
            </w:pPr>
            <w:r>
              <w:rPr>
                <w:color w:val="5B36F5"/>
                <w:sz w:val="20"/>
                <w:szCs w:val="20"/>
              </w:rPr>
              <w:t xml:space="preserve">Aura Academy es nuestro nivel de licencia más alto: tu propio y pequeño modelo de IA, reentrenado automáticamente cada noche con el conocimiento acumulado por tu equipo — un conocimiento que, con el tiempo, realmente te pertenece.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Autoalojado o en la nube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3300"/>
        <w:gridCol w:w="3300"/>
      </w:tblGrid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/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Autoalojado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3270FD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/>
                <w:bCs/>
                <w:color w:val="F8FAFC"/>
                <w:sz w:val="18"/>
                <w:szCs w:val="18"/>
              </w:rPr>
              <w:t xml:space="preserve">Nube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Infraestructura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Hardware/NAS/servidor propio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Gestionado íntegramente por nosotros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Ubicación de los datos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100% en tus manos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En nuestra infraestructura en la nube (UE/CH)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Instalación y actualizaciones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De forma autónoma (documentación incluida)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Por nosotros, de forma continua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Costes adicionales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Ninguno (solo licencia)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desde CHF 29.–/mes cuota de infraestructura</w:t>
            </w:r>
          </w:p>
        </w:tc>
      </w:tr>
      <w:tr>
        <w:tc>
          <w:tcPr>
            <w:tcW w:type="pct" w:w="34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left"/>
            </w:pPr>
            <w:r>
              <w:rPr>
                <w:b/>
                <w:bCs/>
                <w:color w:val="E2E8F0"/>
                <w:sz w:val="18"/>
                <w:szCs w:val="18"/>
              </w:rPr>
              <w:t xml:space="preserve">Soporte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Comunidad/opcional</w:t>
            </w:r>
          </w:p>
        </w:tc>
        <w:tc>
          <w:tcPr>
            <w:tcW w:type="pct" w:w="33%"/>
            <w:tcBorders>
              <w:top w:val="single" w:color="263148" w:sz="2"/>
              <w:left w:val="single" w:color="263148" w:sz="2"/>
              <w:bottom w:val="single" w:color="263148" w:sz="2"/>
              <w:right w:val="single" w:color="263148" w:sz="2"/>
            </w:tcBorders>
            <w:shd w:fill="141B2E" w:val="clear"/>
            <w:tcMar>
              <w:top w:type="dxa" w:w="130"/>
              <w:left w:type="dxa" w:w="130"/>
              <w:bottom w:type="dxa" w:w="130"/>
              <w:right w:type="dxa" w:w="130"/>
            </w:tcMar>
            <w:vAlign w:val="center"/>
          </w:tcPr>
          <w:p>
            <w:pPr>
              <w:jc w:val="center"/>
            </w:pPr>
            <w:r>
              <w:rPr>
                <w:b w:val="false"/>
                <w:bCs w:val="false"/>
                <w:color w:val="E2E8F0"/>
                <w:sz w:val="18"/>
                <w:szCs w:val="18"/>
              </w:rPr>
              <w:t xml:space="preserve">Incluido</w:t>
            </w:r>
          </w:p>
        </w:tc>
      </w:tr>
    </w:tbl>
    <w:p>
      <w:pPr>
        <w:pStyle w:val="Heading1"/>
        <w:pBdr>
          <w:bottom w:val="single" w:color="3270FD" w:sz="8" w:space="4"/>
        </w:pBdr>
        <w:spacing w:after="160" w:before="360"/>
      </w:pPr>
      <w:r>
        <w:rPr>
          <w:b/>
          <w:bCs/>
          <w:color w:val="F8FAFC"/>
          <w:sz w:val="26"/>
          <w:szCs w:val="26"/>
        </w:rPr>
        <w:t xml:space="preserve">Requisitos técnicos (autoalojado)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Docker y Docker Compose en Linux, un NAS (p. ej. Synology) o un entorno comparable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Al menos 2 GB de RAM para el funcionamiento básico, se recomienda más según el número de usuarios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Para Aura Academy, además: varios GB de espacio libre, notablemente más tiempo de cómputo en CPU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color w:val="CBD5E1"/>
          <w:sz w:val="18"/>
          <w:szCs w:val="18"/>
        </w:rPr>
        <w:t xml:space="preserve">Opcional: un dominio propio para un certificado SSL automático</w:t>
      </w:r>
    </w:p>
    <w:p>
      <w:pPr>
        <w:spacing w:before="300"/>
      </w:pPr>
      <w:r>
        <w:rPr>
          <w:b/>
          <w:bCs/>
          <w:color w:val="F8FAFC"/>
          <w:sz w:val="21"/>
          <w:szCs w:val="21"/>
        </w:rPr>
        <w:t xml:space="preserve">¿Interesado? </w:t>
      </w:r>
      <w:r>
        <w:rPr>
          <w:b/>
          <w:bCs/>
          <w:color w:val="1ED2FC"/>
          <w:sz w:val="21"/>
          <w:szCs w:val="21"/>
        </w:rPr>
        <w:t xml:space="preserve">info@gerber-backoffice-solutions.com</w:t>
      </w:r>
    </w:p>
    <w:sectPr>
      <w:headerReference w:type="default" r:id="rId7"/>
      <w:footerReference w:type="default" r:id="rId8"/>
      <w:pgSz w:w="11906" w:h="16838" w:orient="portrait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color w:val="94A3B8"/>
        <w:sz w:val="15"/>
        <w:szCs w:val="15"/>
      </w:rPr>
      <w:t xml:space="preserve">Gerber Backoffice Solutions  ·  info@gerber-backoffice-solutions.com  ·  Página </w:t>
    </w:r>
    <w:r>
      <w:rPr>
        <w:color w:val="94A3B8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color w:val="94A3B8"/>
        <w:sz w:val="16"/>
        <w:szCs w:val="16"/>
      </w:rPr>
      <w:t xml:space="preserve">AuraChat — Ficha de producto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›"/>
      <w:lvlJc w:val="left"/>
      <w:pPr>
        <w:ind w:left="240" w:hanging="18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image" Target="media/49eb473da7a8b840ccb20bde21eaa1b8de2604ce.png"/><Relationship Id="rId10" Type="http://schemas.openxmlformats.org/officeDocument/2006/relationships/image" Target="media/424175827ea08bbd369d93e8913603064a89d9fc.jpg"/><Relationship Id="rId11" Type="http://schemas.openxmlformats.org/officeDocument/2006/relationships/image" Target="media/a2243d00fdcb7081bf1a91f45d1a84c8ad797fbf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2026-09-22T20:20:44.714Z</dcterms:created>
  <dcterms:modified xsi:type="dcterms:W3CDTF">2026-09-22T20:20:44.714Z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